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7C" w:rsidRDefault="0050687C" w:rsidP="0050687C">
      <w:pPr>
        <w:jc w:val="center"/>
      </w:pPr>
      <w:r>
        <w:t>Course Substitutions for Ecological Engineering Program</w:t>
      </w:r>
    </w:p>
    <w:p w:rsidR="00424F8D" w:rsidRDefault="00424F8D" w:rsidP="00424F8D">
      <w:pPr>
        <w:pStyle w:val="Heading2"/>
      </w:pPr>
      <w:r>
        <w:t>Pre-Core (Old and New Program)</w:t>
      </w:r>
    </w:p>
    <w:tbl>
      <w:tblPr>
        <w:tblStyle w:val="TableGrid"/>
        <w:tblW w:w="0" w:type="auto"/>
        <w:tblLook w:val="04A0" w:firstRow="1" w:lastRow="0" w:firstColumn="1" w:lastColumn="0" w:noHBand="0" w:noVBand="1"/>
      </w:tblPr>
      <w:tblGrid>
        <w:gridCol w:w="3192"/>
        <w:gridCol w:w="6276"/>
      </w:tblGrid>
      <w:tr w:rsidR="00424F8D" w:rsidTr="00424F8D">
        <w:tc>
          <w:tcPr>
            <w:tcW w:w="3192" w:type="dxa"/>
          </w:tcPr>
          <w:p w:rsidR="00424F8D" w:rsidRPr="00424F8D" w:rsidRDefault="00424F8D" w:rsidP="00C56B29">
            <w:pPr>
              <w:rPr>
                <w:b/>
              </w:rPr>
            </w:pPr>
            <w:r w:rsidRPr="00424F8D">
              <w:rPr>
                <w:b/>
              </w:rPr>
              <w:t>Program Requirement</w:t>
            </w:r>
          </w:p>
        </w:tc>
        <w:tc>
          <w:tcPr>
            <w:tcW w:w="6276" w:type="dxa"/>
          </w:tcPr>
          <w:p w:rsidR="00424F8D" w:rsidRPr="00424F8D" w:rsidRDefault="00424F8D" w:rsidP="00C56B29">
            <w:pPr>
              <w:rPr>
                <w:b/>
              </w:rPr>
            </w:pPr>
            <w:r w:rsidRPr="00424F8D">
              <w:rPr>
                <w:b/>
              </w:rPr>
              <w:t>Allowable substitution</w:t>
            </w:r>
          </w:p>
        </w:tc>
      </w:tr>
      <w:tr w:rsidR="00424F8D" w:rsidTr="00424F8D">
        <w:tc>
          <w:tcPr>
            <w:tcW w:w="3192" w:type="dxa"/>
          </w:tcPr>
          <w:p w:rsidR="00424F8D" w:rsidRDefault="00424F8D" w:rsidP="00C56B29">
            <w:r>
              <w:t>BEE 101</w:t>
            </w:r>
            <w:r w:rsidR="00690B0C">
              <w:t xml:space="preserve"> (for transfer students)</w:t>
            </w:r>
          </w:p>
        </w:tc>
        <w:tc>
          <w:tcPr>
            <w:tcW w:w="6276" w:type="dxa"/>
          </w:tcPr>
          <w:p w:rsidR="00424F8D" w:rsidRDefault="00424F8D" w:rsidP="003C117F">
            <w:r w:rsidRPr="00E600A6">
              <w:t>Junior (by credit) transfer</w:t>
            </w:r>
            <w:r w:rsidR="003C117F">
              <w:t xml:space="preserve"> student may</w:t>
            </w:r>
            <w:r w:rsidRPr="00E600A6">
              <w:t xml:space="preserve"> substitute 3 credits of upper division engineering elective for BEE 101.  </w:t>
            </w:r>
          </w:p>
        </w:tc>
      </w:tr>
      <w:tr w:rsidR="00462C67" w:rsidTr="00424F8D">
        <w:tc>
          <w:tcPr>
            <w:tcW w:w="3192" w:type="dxa"/>
          </w:tcPr>
          <w:p w:rsidR="00462C67" w:rsidRDefault="00462C67" w:rsidP="00C56B29">
            <w:r>
              <w:t>BI 301 Human Impacts on Ecosystems</w:t>
            </w:r>
          </w:p>
        </w:tc>
        <w:tc>
          <w:tcPr>
            <w:tcW w:w="6276" w:type="dxa"/>
          </w:tcPr>
          <w:p w:rsidR="00462C67" w:rsidRPr="00E600A6" w:rsidRDefault="00462C67" w:rsidP="00690B0C">
            <w:r w:rsidRPr="00462C67">
              <w:t xml:space="preserve">The appropriate substitution is a course taken from the Synthesis-CGI category.  </w:t>
            </w:r>
            <w:r w:rsidR="00690B0C">
              <w:t>Not required in new program.</w:t>
            </w:r>
            <w:r w:rsidR="00911027">
              <w:t xml:space="preserve">  </w:t>
            </w:r>
          </w:p>
        </w:tc>
      </w:tr>
      <w:tr w:rsidR="00424F8D" w:rsidTr="00424F8D">
        <w:tc>
          <w:tcPr>
            <w:tcW w:w="3192" w:type="dxa"/>
          </w:tcPr>
          <w:p w:rsidR="00424F8D" w:rsidRDefault="00424F8D" w:rsidP="00C56B29">
            <w:r>
              <w:t>CH 231/261, 232/262, 233/263</w:t>
            </w:r>
          </w:p>
        </w:tc>
        <w:tc>
          <w:tcPr>
            <w:tcW w:w="6276" w:type="dxa"/>
          </w:tcPr>
          <w:p w:rsidR="00424F8D" w:rsidRDefault="00424F8D" w:rsidP="00C56B29">
            <w:r>
              <w:t>CH 100 level series</w:t>
            </w:r>
          </w:p>
          <w:p w:rsidR="00424F8D" w:rsidRPr="00E600A6" w:rsidRDefault="00424F8D" w:rsidP="00424F8D">
            <w:pPr>
              <w:pStyle w:val="ListParagraph"/>
              <w:numPr>
                <w:ilvl w:val="1"/>
                <w:numId w:val="1"/>
              </w:numPr>
              <w:ind w:left="588"/>
            </w:pPr>
            <w:r>
              <w:t>Student needs to have taken CH</w:t>
            </w:r>
            <w:r w:rsidRPr="00E600A6">
              <w:t xml:space="preserve"> 121/2/3 with a B or be</w:t>
            </w:r>
            <w:r w:rsidR="00690B0C">
              <w:t>tter plus CH</w:t>
            </w:r>
            <w:r w:rsidRPr="00E600A6">
              <w:t xml:space="preserve"> 324 per the policy enacted last year by the UG Committee.</w:t>
            </w:r>
          </w:p>
          <w:p w:rsidR="00424F8D" w:rsidRDefault="00424F8D" w:rsidP="00424F8D">
            <w:pPr>
              <w:pStyle w:val="ListParagraph"/>
              <w:numPr>
                <w:ilvl w:val="1"/>
                <w:numId w:val="1"/>
              </w:numPr>
              <w:ind w:left="588"/>
            </w:pPr>
            <w:r w:rsidRPr="00E600A6">
              <w:t>Use the grade from ch121 in the pro-school calc.</w:t>
            </w:r>
          </w:p>
          <w:p w:rsidR="00424F8D" w:rsidRDefault="00424F8D" w:rsidP="00C56B29"/>
          <w:p w:rsidR="00424F8D" w:rsidRDefault="00424F8D" w:rsidP="00C56B29">
            <w:r>
              <w:t>Chemistry for Engineers</w:t>
            </w:r>
          </w:p>
          <w:p w:rsidR="00424F8D" w:rsidRDefault="00424F8D" w:rsidP="00C56B29">
            <w:pPr>
              <w:pStyle w:val="ListParagraph"/>
              <w:numPr>
                <w:ilvl w:val="1"/>
                <w:numId w:val="1"/>
              </w:numPr>
              <w:ind w:left="678"/>
            </w:pPr>
            <w:r w:rsidRPr="004D18FC">
              <w:t>Students who complete the Chemistry for Engineers sequence, including recitations (CH 201, 202, 205, 211, and 212) will have to take an additional 6 credits of 200-level or above chemistry. Students petition to take chemistry courses to bring their total 200-level and above chemistry course credits to 15.</w:t>
            </w:r>
          </w:p>
        </w:tc>
      </w:tr>
      <w:tr w:rsidR="00424F8D" w:rsidTr="00424F8D">
        <w:tc>
          <w:tcPr>
            <w:tcW w:w="3192" w:type="dxa"/>
          </w:tcPr>
          <w:p w:rsidR="00424F8D" w:rsidRDefault="00424F8D" w:rsidP="00C56B29">
            <w:r>
              <w:t>ST 314</w:t>
            </w:r>
          </w:p>
        </w:tc>
        <w:tc>
          <w:tcPr>
            <w:tcW w:w="6276" w:type="dxa"/>
          </w:tcPr>
          <w:p w:rsidR="00424F8D" w:rsidRDefault="00424F8D" w:rsidP="00C56B29">
            <w:r w:rsidRPr="004D18FC">
              <w:t>The Ecological Engineering BS degree program requires ST 314 Statistics for Engineers in recognition of the importance that statistical analysis plays in systems modeling. ST 421 Introduction to Mathematical Statistics is a recommended substitute for ST 314 but ST 422 must be taken additionally as an Upper Division Science Elective course.</w:t>
            </w:r>
            <w:r w:rsidRPr="0050687C">
              <w:t xml:space="preserve"> </w:t>
            </w:r>
            <w:r>
              <w:t xml:space="preserve"> </w:t>
            </w:r>
            <w:r w:rsidR="00911027">
              <w:t xml:space="preserve"> </w:t>
            </w:r>
          </w:p>
        </w:tc>
      </w:tr>
      <w:tr w:rsidR="00424F8D" w:rsidTr="00424F8D">
        <w:tc>
          <w:tcPr>
            <w:tcW w:w="3192" w:type="dxa"/>
          </w:tcPr>
          <w:p w:rsidR="00424F8D" w:rsidRDefault="00424F8D" w:rsidP="00C56B29">
            <w:r>
              <w:t>MTH 306 (for transfer students)</w:t>
            </w:r>
          </w:p>
        </w:tc>
        <w:tc>
          <w:tcPr>
            <w:tcW w:w="6276" w:type="dxa"/>
          </w:tcPr>
          <w:p w:rsidR="00424F8D" w:rsidRDefault="00424F8D" w:rsidP="00424F8D">
            <w:pPr>
              <w:pStyle w:val="ListParagraph"/>
              <w:numPr>
                <w:ilvl w:val="0"/>
                <w:numId w:val="2"/>
              </w:numPr>
            </w:pPr>
            <w:r>
              <w:t>At the Community College students may take Infinite Series and Sequences (MTH 253) and Linear Algebra (MTH 2XX) to substitute for Matrix and Power Series Methods (MTH 306)</w:t>
            </w:r>
          </w:p>
          <w:p w:rsidR="00424F8D" w:rsidRDefault="00424F8D" w:rsidP="00424F8D">
            <w:pPr>
              <w:pStyle w:val="ListParagraph"/>
              <w:numPr>
                <w:ilvl w:val="0"/>
                <w:numId w:val="2"/>
              </w:numPr>
            </w:pPr>
            <w:r>
              <w:t xml:space="preserve">MTH 253 at Linn Benton Community College, </w:t>
            </w:r>
            <w:proofErr w:type="spellStart"/>
            <w:r>
              <w:t>Chemeketa</w:t>
            </w:r>
            <w:proofErr w:type="spellEnd"/>
            <w:r>
              <w:t xml:space="preserve"> Community College, &amp; Central Oregon Community College is accepted for MTH 306.</w:t>
            </w:r>
          </w:p>
          <w:p w:rsidR="00424F8D" w:rsidRDefault="00424F8D" w:rsidP="00424F8D">
            <w:pPr>
              <w:pStyle w:val="ListParagraph"/>
              <w:numPr>
                <w:ilvl w:val="0"/>
                <w:numId w:val="2"/>
              </w:numPr>
            </w:pPr>
            <w:r>
              <w:t>MTH 253 &amp; MTH 261 from Clackamas Community College, Eastern Oregon University, Lane Community College, Mt. Hood Community College, Portland Community College, Portland State University, Rogue Community College, and Southern Oregon Community College is accepted for MTH 306</w:t>
            </w:r>
          </w:p>
          <w:p w:rsidR="00424F8D" w:rsidRDefault="00424F8D" w:rsidP="00424F8D">
            <w:pPr>
              <w:pStyle w:val="ListParagraph"/>
              <w:numPr>
                <w:ilvl w:val="0"/>
                <w:numId w:val="2"/>
              </w:numPr>
            </w:pPr>
            <w:r>
              <w:t>MTH 253 &amp; MTH 260 from Southwestern Oregon Community College is accepted for MTH 306</w:t>
            </w:r>
          </w:p>
          <w:p w:rsidR="00424F8D" w:rsidRDefault="00424F8D" w:rsidP="00424F8D">
            <w:pPr>
              <w:pStyle w:val="ListParagraph"/>
              <w:numPr>
                <w:ilvl w:val="0"/>
                <w:numId w:val="2"/>
              </w:numPr>
            </w:pPr>
            <w:r>
              <w:t>MTH 253 &amp; MTH 341 from University of Oregon &amp; Oregon Institute of Technology is accepted for MTH 306</w:t>
            </w:r>
          </w:p>
          <w:p w:rsidR="00424F8D" w:rsidRDefault="00424F8D" w:rsidP="00690B0C">
            <w:pPr>
              <w:pStyle w:val="ListParagraph"/>
              <w:numPr>
                <w:ilvl w:val="0"/>
                <w:numId w:val="2"/>
              </w:numPr>
            </w:pPr>
            <w:r>
              <w:t xml:space="preserve">Reference: </w:t>
            </w:r>
            <w:hyperlink r:id="rId8" w:history="1">
              <w:r w:rsidRPr="00B65F10">
                <w:rPr>
                  <w:rStyle w:val="Hyperlink"/>
                </w:rPr>
                <w:t>http://eecs.oregonstate.edu/transfer-credit</w:t>
              </w:r>
            </w:hyperlink>
            <w:r>
              <w:t xml:space="preserve"> </w:t>
            </w:r>
          </w:p>
        </w:tc>
      </w:tr>
      <w:tr w:rsidR="00FB50D9" w:rsidTr="00424F8D">
        <w:tc>
          <w:tcPr>
            <w:tcW w:w="3192" w:type="dxa"/>
          </w:tcPr>
          <w:p w:rsidR="00FB50D9" w:rsidRDefault="00FB50D9" w:rsidP="00C56B29">
            <w:r>
              <w:t>ENGR 390</w:t>
            </w:r>
          </w:p>
        </w:tc>
        <w:tc>
          <w:tcPr>
            <w:tcW w:w="6276" w:type="dxa"/>
          </w:tcPr>
          <w:p w:rsidR="00FB50D9" w:rsidRPr="00911027" w:rsidRDefault="00FB50D9" w:rsidP="00911027">
            <w:r>
              <w:t>ENGR 391 is an acceptable substitution for ENGR 390 in the old program.  ENGR 391 is required in the new program.</w:t>
            </w:r>
            <w:r w:rsidR="00911027">
              <w:t xml:space="preserve">  </w:t>
            </w:r>
            <w:r w:rsidR="00911027" w:rsidRPr="00911027">
              <w:rPr>
                <w:b/>
              </w:rPr>
              <w:t>NO PETITION IS REQUIRED</w:t>
            </w:r>
          </w:p>
        </w:tc>
      </w:tr>
    </w:tbl>
    <w:p w:rsidR="00424F8D" w:rsidRDefault="00424F8D" w:rsidP="00C56B29"/>
    <w:p w:rsidR="003C117F" w:rsidRDefault="003C117F" w:rsidP="00424F8D">
      <w:pPr>
        <w:pStyle w:val="Heading2"/>
      </w:pPr>
      <w:r>
        <w:t>Old Program</w:t>
      </w:r>
      <w:r w:rsidR="00FB50D9">
        <w:t xml:space="preserve"> -</w:t>
      </w:r>
      <w:r>
        <w:t xml:space="preserve"> Professional Core</w:t>
      </w:r>
      <w:r w:rsidR="00FB50D9">
        <w:t xml:space="preserve"> substitutions</w:t>
      </w:r>
    </w:p>
    <w:tbl>
      <w:tblPr>
        <w:tblStyle w:val="TableGrid"/>
        <w:tblW w:w="0" w:type="auto"/>
        <w:tblLook w:val="04A0" w:firstRow="1" w:lastRow="0" w:firstColumn="1" w:lastColumn="0" w:noHBand="0" w:noVBand="1"/>
      </w:tblPr>
      <w:tblGrid>
        <w:gridCol w:w="3192"/>
        <w:gridCol w:w="6276"/>
      </w:tblGrid>
      <w:tr w:rsidR="003C117F" w:rsidTr="0037494F">
        <w:tc>
          <w:tcPr>
            <w:tcW w:w="3192" w:type="dxa"/>
          </w:tcPr>
          <w:p w:rsidR="003C117F" w:rsidRPr="00424F8D" w:rsidRDefault="003C117F" w:rsidP="0037494F">
            <w:pPr>
              <w:rPr>
                <w:b/>
              </w:rPr>
            </w:pPr>
            <w:r w:rsidRPr="00424F8D">
              <w:rPr>
                <w:b/>
              </w:rPr>
              <w:t>Program Requirement</w:t>
            </w:r>
          </w:p>
        </w:tc>
        <w:tc>
          <w:tcPr>
            <w:tcW w:w="6276" w:type="dxa"/>
          </w:tcPr>
          <w:p w:rsidR="003C117F" w:rsidRPr="00424F8D" w:rsidRDefault="003C117F" w:rsidP="0037494F">
            <w:pPr>
              <w:rPr>
                <w:b/>
              </w:rPr>
            </w:pPr>
            <w:r w:rsidRPr="00424F8D">
              <w:rPr>
                <w:b/>
              </w:rPr>
              <w:t>Allowable substitution</w:t>
            </w:r>
          </w:p>
        </w:tc>
      </w:tr>
      <w:tr w:rsidR="003C117F" w:rsidTr="0037494F">
        <w:tc>
          <w:tcPr>
            <w:tcW w:w="3192" w:type="dxa"/>
          </w:tcPr>
          <w:p w:rsidR="003C117F" w:rsidRDefault="003C117F" w:rsidP="0037494F">
            <w:r>
              <w:t>BEE 458 Nonpoint Source Pollution</w:t>
            </w:r>
            <w:r w:rsidR="00690B0C">
              <w:t xml:space="preserve"> (3 credits)</w:t>
            </w:r>
          </w:p>
        </w:tc>
        <w:tc>
          <w:tcPr>
            <w:tcW w:w="6276" w:type="dxa"/>
          </w:tcPr>
          <w:p w:rsidR="003C117F" w:rsidRDefault="003C117F" w:rsidP="00690B0C">
            <w:r>
              <w:t>BEE 446 River Engineering</w:t>
            </w:r>
            <w:r w:rsidR="00690B0C">
              <w:t xml:space="preserve"> (4 credits)</w:t>
            </w:r>
            <w:r>
              <w:t>: W</w:t>
            </w:r>
            <w:r w:rsidRPr="008018BD">
              <w:t>e prefer non-point but recognize that since it is only offered every other year some students may not have the opportunity to take the course.  We allow river engineering as a substitute.</w:t>
            </w:r>
            <w:r w:rsidR="00690B0C">
              <w:t xml:space="preserve">  If a student chooses to substitute BEE 446 for BEE 458, BEE 446 cannot be used as an engineering elective, except that because of the credit difference, we c</w:t>
            </w:r>
            <w:r w:rsidR="00690B0C" w:rsidRPr="00690B0C">
              <w:t>ount one credit of River Engineering as engineering elective</w:t>
            </w:r>
            <w:r w:rsidR="00690B0C">
              <w:t xml:space="preserve">.  </w:t>
            </w:r>
          </w:p>
        </w:tc>
      </w:tr>
      <w:tr w:rsidR="003C117F" w:rsidTr="0037494F">
        <w:tc>
          <w:tcPr>
            <w:tcW w:w="3192" w:type="dxa"/>
          </w:tcPr>
          <w:p w:rsidR="003C117F" w:rsidRDefault="003C117F" w:rsidP="0037494F">
            <w:r>
              <w:t>CE 313</w:t>
            </w:r>
            <w:r w:rsidR="00CB6652">
              <w:t xml:space="preserve"> Hydraulic Engineering</w:t>
            </w:r>
          </w:p>
        </w:tc>
        <w:tc>
          <w:tcPr>
            <w:tcW w:w="6276" w:type="dxa"/>
          </w:tcPr>
          <w:p w:rsidR="003C117F" w:rsidRDefault="003C117F" w:rsidP="003C117F">
            <w:r>
              <w:t>BEE 433 was accepted as a substitute for CE 313 due to access issues to the CE 313 course.  As BEE 312 will replace the CE 313 we do not expect this substitution to occur in the future.</w:t>
            </w:r>
          </w:p>
        </w:tc>
      </w:tr>
      <w:tr w:rsidR="00690B0C" w:rsidTr="0037494F">
        <w:tc>
          <w:tcPr>
            <w:tcW w:w="3192" w:type="dxa"/>
          </w:tcPr>
          <w:p w:rsidR="00690B0C" w:rsidRDefault="00690B0C" w:rsidP="0037494F">
            <w:r>
              <w:t>FW 456</w:t>
            </w:r>
            <w:r w:rsidRPr="00690B0C">
              <w:t xml:space="preserve"> Limnology</w:t>
            </w:r>
          </w:p>
        </w:tc>
        <w:tc>
          <w:tcPr>
            <w:tcW w:w="6276" w:type="dxa"/>
          </w:tcPr>
          <w:p w:rsidR="00690B0C" w:rsidRDefault="00690B0C" w:rsidP="00690B0C">
            <w:r>
              <w:rPr>
                <w:color w:val="000000"/>
              </w:rPr>
              <w:t>FW 445 Ecological Restoration</w:t>
            </w:r>
          </w:p>
        </w:tc>
      </w:tr>
    </w:tbl>
    <w:p w:rsidR="003C117F" w:rsidRDefault="003C117F" w:rsidP="003C117F"/>
    <w:p w:rsidR="003C117F" w:rsidRDefault="003C117F" w:rsidP="003C117F">
      <w:pPr>
        <w:pStyle w:val="Heading2"/>
      </w:pPr>
      <w:r>
        <w:t xml:space="preserve">Old Program – Electives </w:t>
      </w:r>
      <w:r w:rsidR="00FB50D9">
        <w:t>substitutions</w:t>
      </w:r>
      <w:r>
        <w:t xml:space="preserve"> </w:t>
      </w:r>
    </w:p>
    <w:p w:rsidR="00FE0807" w:rsidRPr="003C117F" w:rsidRDefault="0018702B" w:rsidP="003C117F">
      <w:r>
        <w:rPr>
          <w:b/>
        </w:rPr>
        <w:t>N</w:t>
      </w:r>
      <w:r w:rsidR="003C117F" w:rsidRPr="00FB50D9">
        <w:rPr>
          <w:b/>
        </w:rPr>
        <w:t>ote:</w:t>
      </w:r>
      <w:r w:rsidR="003C117F">
        <w:t xml:space="preserve"> </w:t>
      </w:r>
      <w:r w:rsidR="00FB50D9">
        <w:t>Regarding the s</w:t>
      </w:r>
      <w:r w:rsidR="003C117F">
        <w:t>ubstitution of engineering elective credit for science elective credit: Petitions considered on case-by-case basis.  No blanket approval or disapproval.</w:t>
      </w:r>
    </w:p>
    <w:tbl>
      <w:tblPr>
        <w:tblStyle w:val="TableGrid"/>
        <w:tblW w:w="0" w:type="auto"/>
        <w:tblLook w:val="04A0" w:firstRow="1" w:lastRow="0" w:firstColumn="1" w:lastColumn="0" w:noHBand="0" w:noVBand="1"/>
      </w:tblPr>
      <w:tblGrid>
        <w:gridCol w:w="4788"/>
        <w:gridCol w:w="4788"/>
      </w:tblGrid>
      <w:tr w:rsidR="003C117F" w:rsidTr="003C117F">
        <w:tc>
          <w:tcPr>
            <w:tcW w:w="4788" w:type="dxa"/>
          </w:tcPr>
          <w:p w:rsidR="003C117F" w:rsidRPr="003C117F" w:rsidRDefault="003C117F" w:rsidP="003C117F">
            <w:pPr>
              <w:rPr>
                <w:b/>
              </w:rPr>
            </w:pPr>
            <w:r w:rsidRPr="003C117F">
              <w:rPr>
                <w:b/>
              </w:rPr>
              <w:t>Engineering Electives</w:t>
            </w:r>
          </w:p>
        </w:tc>
        <w:tc>
          <w:tcPr>
            <w:tcW w:w="4788" w:type="dxa"/>
          </w:tcPr>
          <w:p w:rsidR="003C117F" w:rsidRPr="003C117F" w:rsidRDefault="003C117F" w:rsidP="003C117F">
            <w:pPr>
              <w:rPr>
                <w:b/>
              </w:rPr>
            </w:pPr>
            <w:r w:rsidRPr="003C117F">
              <w:rPr>
                <w:b/>
              </w:rPr>
              <w:t xml:space="preserve">Science Electives </w:t>
            </w:r>
          </w:p>
        </w:tc>
      </w:tr>
      <w:tr w:rsidR="00E161B6" w:rsidTr="003C117F">
        <w:tc>
          <w:tcPr>
            <w:tcW w:w="4788" w:type="dxa"/>
          </w:tcPr>
          <w:p w:rsidR="00E161B6" w:rsidRDefault="00D8728E" w:rsidP="00FB50D9">
            <w:r>
              <w:t xml:space="preserve">BEE 411 </w:t>
            </w:r>
            <w:r w:rsidRPr="00D96531">
              <w:t>Global Environmental Change: Using Data To Inform Decisions</w:t>
            </w:r>
          </w:p>
        </w:tc>
        <w:tc>
          <w:tcPr>
            <w:tcW w:w="4788" w:type="dxa"/>
          </w:tcPr>
          <w:p w:rsidR="00E161B6" w:rsidRDefault="00E161B6" w:rsidP="00874EB1">
            <w:r w:rsidRPr="003316BD">
              <w:t xml:space="preserve">ENVE 456 </w:t>
            </w:r>
            <w:r>
              <w:t>(</w:t>
            </w:r>
            <w:r w:rsidRPr="003316BD">
              <w:t>Sustainable Water Resources Development</w:t>
            </w:r>
            <w:r>
              <w:t>)</w:t>
            </w:r>
            <w:r w:rsidRPr="003316BD">
              <w:t xml:space="preserve"> is </w:t>
            </w:r>
            <w:r>
              <w:t>listed</w:t>
            </w:r>
            <w:r w:rsidRPr="003316BD">
              <w:t xml:space="preserve"> as an engineering elective</w:t>
            </w:r>
            <w:r>
              <w:t xml:space="preserve"> but can also be counted as science elective</w:t>
            </w:r>
            <w:r>
              <w:t> </w:t>
            </w:r>
          </w:p>
        </w:tc>
      </w:tr>
      <w:tr w:rsidR="006B04E8" w:rsidTr="003C117F">
        <w:tc>
          <w:tcPr>
            <w:tcW w:w="4788" w:type="dxa"/>
          </w:tcPr>
          <w:p w:rsidR="006B04E8" w:rsidRDefault="006B04E8" w:rsidP="00844ADA">
            <w:r>
              <w:t xml:space="preserve">CBEE 414 </w:t>
            </w:r>
            <w:r w:rsidRPr="00FB50D9">
              <w:t>Process Engineering Laboratory</w:t>
            </w:r>
          </w:p>
        </w:tc>
        <w:tc>
          <w:tcPr>
            <w:tcW w:w="4788" w:type="dxa"/>
          </w:tcPr>
          <w:p w:rsidR="006B04E8" w:rsidRPr="003316BD" w:rsidRDefault="006B04E8" w:rsidP="00874EB1">
            <w:r>
              <w:t>FE 456 International Forestry</w:t>
            </w:r>
          </w:p>
        </w:tc>
      </w:tr>
      <w:tr w:rsidR="006B04E8" w:rsidTr="003C117F">
        <w:tc>
          <w:tcPr>
            <w:tcW w:w="4788" w:type="dxa"/>
          </w:tcPr>
          <w:p w:rsidR="006B04E8" w:rsidRDefault="006B04E8" w:rsidP="00844ADA">
            <w:r>
              <w:t xml:space="preserve">CCE 422 </w:t>
            </w:r>
            <w:r w:rsidRPr="00FA7DD3">
              <w:t>Green Building Materials</w:t>
            </w:r>
          </w:p>
        </w:tc>
        <w:tc>
          <w:tcPr>
            <w:tcW w:w="4788" w:type="dxa"/>
          </w:tcPr>
          <w:p w:rsidR="006B04E8" w:rsidRPr="003316BD" w:rsidRDefault="006B04E8" w:rsidP="00874EB1">
            <w:r w:rsidRPr="00042B1B">
              <w:t>FES</w:t>
            </w:r>
            <w:r>
              <w:t xml:space="preserve"> </w:t>
            </w:r>
            <w:r w:rsidRPr="00042B1B">
              <w:t>452 Biodiversity Conservation In Managed Forests</w:t>
            </w:r>
          </w:p>
        </w:tc>
      </w:tr>
      <w:tr w:rsidR="006B04E8" w:rsidTr="003C117F">
        <w:tc>
          <w:tcPr>
            <w:tcW w:w="4788" w:type="dxa"/>
          </w:tcPr>
          <w:p w:rsidR="006B04E8" w:rsidRDefault="006B04E8" w:rsidP="00844ADA">
            <w:r w:rsidRPr="00D8728E">
              <w:t>CE 202 Civil Engineering: Geospatial Information and GIS</w:t>
            </w:r>
          </w:p>
        </w:tc>
        <w:tc>
          <w:tcPr>
            <w:tcW w:w="4788" w:type="dxa"/>
          </w:tcPr>
          <w:p w:rsidR="006B04E8" w:rsidRDefault="006B04E8" w:rsidP="00874EB1">
            <w:r>
              <w:t>FW 580 Stream Ecology</w:t>
            </w:r>
          </w:p>
        </w:tc>
      </w:tr>
      <w:tr w:rsidR="006B04E8" w:rsidTr="003C117F">
        <w:tc>
          <w:tcPr>
            <w:tcW w:w="4788" w:type="dxa"/>
          </w:tcPr>
          <w:p w:rsidR="006B04E8" w:rsidRDefault="006B04E8" w:rsidP="00844ADA">
            <w:r>
              <w:t xml:space="preserve">CE 411 </w:t>
            </w:r>
            <w:r w:rsidRPr="00FB50D9">
              <w:t>Ocean Engineering</w:t>
            </w:r>
          </w:p>
        </w:tc>
        <w:tc>
          <w:tcPr>
            <w:tcW w:w="4788" w:type="dxa"/>
          </w:tcPr>
          <w:p w:rsidR="006B04E8" w:rsidRPr="006B04E8" w:rsidRDefault="006B04E8" w:rsidP="006B04E8">
            <w:pPr>
              <w:rPr>
                <w:b/>
                <w:bCs/>
              </w:rPr>
            </w:pPr>
            <w:r>
              <w:t xml:space="preserve">GEO 301 </w:t>
            </w:r>
            <w:r w:rsidRPr="006B04E8">
              <w:rPr>
                <w:bCs/>
              </w:rPr>
              <w:t>Map And Image Interpretation</w:t>
            </w:r>
            <w:r w:rsidRPr="006B04E8">
              <w:rPr>
                <w:b/>
                <w:bCs/>
              </w:rPr>
              <w:t xml:space="preserve"> </w:t>
            </w:r>
          </w:p>
          <w:p w:rsidR="006B04E8" w:rsidRPr="000E29F1" w:rsidRDefault="006B04E8" w:rsidP="00C77A85"/>
        </w:tc>
      </w:tr>
      <w:tr w:rsidR="006B04E8" w:rsidTr="003C117F">
        <w:tc>
          <w:tcPr>
            <w:tcW w:w="4788" w:type="dxa"/>
          </w:tcPr>
          <w:p w:rsidR="006B04E8" w:rsidRDefault="006B04E8" w:rsidP="00844ADA">
            <w:r>
              <w:t xml:space="preserve">CE 514 </w:t>
            </w:r>
            <w:r w:rsidRPr="00FB50D9">
              <w:t>Groundwater Hydraulics</w:t>
            </w:r>
          </w:p>
        </w:tc>
        <w:tc>
          <w:tcPr>
            <w:tcW w:w="4788" w:type="dxa"/>
          </w:tcPr>
          <w:p w:rsidR="006B04E8" w:rsidRPr="000E29F1" w:rsidRDefault="006B04E8" w:rsidP="00C77A85">
            <w:pPr>
              <w:tabs>
                <w:tab w:val="left" w:pos="1710"/>
              </w:tabs>
            </w:pPr>
            <w:r>
              <w:t>GEO 360 Cartography</w:t>
            </w:r>
          </w:p>
        </w:tc>
      </w:tr>
      <w:tr w:rsidR="006B04E8" w:rsidTr="003C117F">
        <w:tc>
          <w:tcPr>
            <w:tcW w:w="4788" w:type="dxa"/>
          </w:tcPr>
          <w:p w:rsidR="006B04E8" w:rsidRDefault="006B04E8" w:rsidP="00844ADA">
            <w:r>
              <w:t xml:space="preserve">CE 520 </w:t>
            </w:r>
            <w:r w:rsidRPr="00FB50D9">
              <w:t>Engineering Planning</w:t>
            </w:r>
          </w:p>
        </w:tc>
        <w:tc>
          <w:tcPr>
            <w:tcW w:w="4788" w:type="dxa"/>
          </w:tcPr>
          <w:p w:rsidR="006B04E8" w:rsidRPr="000E29F1" w:rsidRDefault="006B04E8" w:rsidP="00844ADA">
            <w:r>
              <w:t xml:space="preserve">GEO 425 </w:t>
            </w:r>
            <w:r w:rsidRPr="00FA7DD3">
              <w:t>Water Resources Management In The United States</w:t>
            </w:r>
          </w:p>
        </w:tc>
      </w:tr>
      <w:tr w:rsidR="006B04E8" w:rsidTr="003C117F">
        <w:tc>
          <w:tcPr>
            <w:tcW w:w="4788" w:type="dxa"/>
          </w:tcPr>
          <w:p w:rsidR="006B04E8" w:rsidRDefault="006B04E8" w:rsidP="00844ADA">
            <w:r>
              <w:t xml:space="preserve">CE 630 </w:t>
            </w:r>
            <w:r w:rsidRPr="00FB50D9">
              <w:t>Ocean Wave Mechanics I</w:t>
            </w:r>
          </w:p>
        </w:tc>
        <w:tc>
          <w:tcPr>
            <w:tcW w:w="4788" w:type="dxa"/>
          </w:tcPr>
          <w:p w:rsidR="006B04E8" w:rsidRDefault="006B04E8" w:rsidP="00844ADA">
            <w:r>
              <w:t>GEO 444 Remote Sensing</w:t>
            </w:r>
          </w:p>
        </w:tc>
      </w:tr>
      <w:tr w:rsidR="006B04E8" w:rsidTr="003C117F">
        <w:tc>
          <w:tcPr>
            <w:tcW w:w="4788" w:type="dxa"/>
          </w:tcPr>
          <w:p w:rsidR="006B04E8" w:rsidRDefault="006B04E8" w:rsidP="00844ADA">
            <w:r>
              <w:t xml:space="preserve">ENGR 248 </w:t>
            </w:r>
            <w:r w:rsidRPr="00155A2C">
              <w:t>Engineering Graphics and 3-D Modeling</w:t>
            </w:r>
          </w:p>
        </w:tc>
        <w:tc>
          <w:tcPr>
            <w:tcW w:w="4788" w:type="dxa"/>
          </w:tcPr>
          <w:p w:rsidR="006B04E8" w:rsidRPr="000E29F1" w:rsidRDefault="006B04E8" w:rsidP="00844ADA">
            <w:pPr>
              <w:tabs>
                <w:tab w:val="left" w:pos="1710"/>
              </w:tabs>
            </w:pPr>
            <w:r>
              <w:t>GEO 483 Snow Hydrology</w:t>
            </w:r>
          </w:p>
        </w:tc>
      </w:tr>
      <w:tr w:rsidR="006B04E8" w:rsidTr="003C117F">
        <w:tc>
          <w:tcPr>
            <w:tcW w:w="4788" w:type="dxa"/>
          </w:tcPr>
          <w:p w:rsidR="006B04E8" w:rsidRDefault="006B04E8" w:rsidP="00844ADA">
            <w:r>
              <w:t xml:space="preserve">FE 209 </w:t>
            </w:r>
            <w:r w:rsidRPr="00B51BCB">
              <w:t>Forest Photo</w:t>
            </w:r>
            <w:r>
              <w:t>grammetry And Remote Sensing</w:t>
            </w:r>
          </w:p>
        </w:tc>
        <w:tc>
          <w:tcPr>
            <w:tcW w:w="4788" w:type="dxa"/>
          </w:tcPr>
          <w:p w:rsidR="006B04E8" w:rsidRPr="000E29F1" w:rsidRDefault="006B04E8" w:rsidP="00844ADA">
            <w:pPr>
              <w:tabs>
                <w:tab w:val="left" w:pos="1710"/>
              </w:tabs>
            </w:pPr>
            <w:r>
              <w:t xml:space="preserve">GEO 487 </w:t>
            </w:r>
            <w:r w:rsidRPr="00FA7DD3">
              <w:t>Hydrogeology</w:t>
            </w:r>
          </w:p>
        </w:tc>
      </w:tr>
      <w:tr w:rsidR="006B04E8" w:rsidTr="003C117F">
        <w:tc>
          <w:tcPr>
            <w:tcW w:w="4788" w:type="dxa"/>
          </w:tcPr>
          <w:p w:rsidR="006B04E8" w:rsidRDefault="006B04E8" w:rsidP="00844ADA">
            <w:r>
              <w:t xml:space="preserve">FE 435 </w:t>
            </w:r>
            <w:r w:rsidRPr="006B04E8">
              <w:t>Forest Watershed Management Impacts</w:t>
            </w:r>
          </w:p>
        </w:tc>
        <w:tc>
          <w:tcPr>
            <w:tcW w:w="4788" w:type="dxa"/>
          </w:tcPr>
          <w:p w:rsidR="006B04E8" w:rsidRDefault="006B04E8" w:rsidP="00844ADA">
            <w:r>
              <w:t xml:space="preserve">RNG 446 </w:t>
            </w:r>
            <w:proofErr w:type="spellStart"/>
            <w:r w:rsidRPr="00FA7DD3">
              <w:t>Wildland</w:t>
            </w:r>
            <w:proofErr w:type="spellEnd"/>
            <w:r w:rsidRPr="00FA7DD3">
              <w:t xml:space="preserve"> Fire Ecology</w:t>
            </w:r>
          </w:p>
        </w:tc>
      </w:tr>
      <w:tr w:rsidR="006B04E8" w:rsidTr="003C117F">
        <w:tc>
          <w:tcPr>
            <w:tcW w:w="4788" w:type="dxa"/>
          </w:tcPr>
          <w:p w:rsidR="006B04E8" w:rsidRDefault="006B04E8" w:rsidP="00844ADA"/>
        </w:tc>
        <w:tc>
          <w:tcPr>
            <w:tcW w:w="4788" w:type="dxa"/>
          </w:tcPr>
          <w:p w:rsidR="006B04E8" w:rsidRDefault="006B04E8" w:rsidP="00844ADA">
            <w:r>
              <w:t xml:space="preserve">SOIL 366 Ecosystems of </w:t>
            </w:r>
            <w:proofErr w:type="spellStart"/>
            <w:r>
              <w:t>Wildland</w:t>
            </w:r>
            <w:proofErr w:type="spellEnd"/>
            <w:r>
              <w:t xml:space="preserve"> Soils</w:t>
            </w:r>
          </w:p>
        </w:tc>
      </w:tr>
      <w:tr w:rsidR="006B04E8" w:rsidTr="003C117F">
        <w:tc>
          <w:tcPr>
            <w:tcW w:w="4788" w:type="dxa"/>
          </w:tcPr>
          <w:p w:rsidR="006B04E8" w:rsidRDefault="006B04E8" w:rsidP="00844ADA">
            <w:bookmarkStart w:id="0" w:name="_GoBack"/>
            <w:bookmarkEnd w:id="0"/>
          </w:p>
        </w:tc>
        <w:tc>
          <w:tcPr>
            <w:tcW w:w="4788" w:type="dxa"/>
          </w:tcPr>
          <w:p w:rsidR="006B04E8" w:rsidRDefault="006B04E8" w:rsidP="00844ADA">
            <w:r>
              <w:t>Wood Science Engineering (WSE) courses are allowed for science elective credit but not engineering elective credit</w:t>
            </w:r>
          </w:p>
        </w:tc>
      </w:tr>
      <w:tr w:rsidR="006B04E8" w:rsidTr="003C117F">
        <w:tc>
          <w:tcPr>
            <w:tcW w:w="4788" w:type="dxa"/>
          </w:tcPr>
          <w:p w:rsidR="006B04E8" w:rsidRDefault="006B04E8" w:rsidP="00844ADA"/>
        </w:tc>
        <w:tc>
          <w:tcPr>
            <w:tcW w:w="4788" w:type="dxa"/>
          </w:tcPr>
          <w:p w:rsidR="006B04E8" w:rsidRDefault="006B04E8" w:rsidP="00844ADA">
            <w:r w:rsidRPr="000E29F1">
              <w:t>Z</w:t>
            </w:r>
            <w:r>
              <w:t xml:space="preserve"> </w:t>
            </w:r>
            <w:r w:rsidRPr="000E29F1">
              <w:t>331 and Z</w:t>
            </w:r>
            <w:r>
              <w:t xml:space="preserve"> </w:t>
            </w:r>
            <w:r w:rsidRPr="000E29F1">
              <w:t>333</w:t>
            </w:r>
            <w:r>
              <w:t xml:space="preserve"> </w:t>
            </w:r>
            <w:r>
              <w:rPr>
                <w:color w:val="000000"/>
              </w:rPr>
              <w:t>Human Anatomy &amp; Physiology</w:t>
            </w:r>
          </w:p>
        </w:tc>
      </w:tr>
      <w:tr w:rsidR="006B04E8" w:rsidTr="003C117F">
        <w:tc>
          <w:tcPr>
            <w:tcW w:w="4788" w:type="dxa"/>
          </w:tcPr>
          <w:p w:rsidR="006B04E8" w:rsidRDefault="006B04E8" w:rsidP="00844ADA"/>
        </w:tc>
        <w:tc>
          <w:tcPr>
            <w:tcW w:w="4788" w:type="dxa"/>
          </w:tcPr>
          <w:p w:rsidR="006B04E8" w:rsidRPr="00FB50D9" w:rsidRDefault="006B04E8" w:rsidP="00844ADA">
            <w:pPr>
              <w:rPr>
                <w:b/>
                <w:bCs/>
              </w:rPr>
            </w:pPr>
            <w:r>
              <w:t xml:space="preserve">Z 464 </w:t>
            </w:r>
            <w:r w:rsidRPr="00FB50D9">
              <w:rPr>
                <w:bCs/>
              </w:rPr>
              <w:t>Marine Conservation Biology</w:t>
            </w:r>
          </w:p>
          <w:p w:rsidR="006B04E8" w:rsidRDefault="006B04E8" w:rsidP="00844ADA"/>
        </w:tc>
      </w:tr>
    </w:tbl>
    <w:p w:rsidR="00424F8D" w:rsidRDefault="003C117F" w:rsidP="003C117F">
      <w:pPr>
        <w:pStyle w:val="Heading2"/>
      </w:pPr>
      <w:r>
        <w:lastRenderedPageBreak/>
        <w:t>Not allowed</w:t>
      </w:r>
    </w:p>
    <w:p w:rsidR="003C117F" w:rsidRDefault="003C117F" w:rsidP="003C117F">
      <w:pPr>
        <w:pStyle w:val="ListParagraph"/>
        <w:numPr>
          <w:ilvl w:val="0"/>
          <w:numId w:val="3"/>
        </w:numPr>
      </w:pPr>
      <w:r>
        <w:t>BEE 312 and BEE 313 not allowed as electives if CE 412 and CE 313 have already been taken</w:t>
      </w:r>
    </w:p>
    <w:p w:rsidR="003316BD" w:rsidRDefault="003C117F" w:rsidP="00FE0807">
      <w:pPr>
        <w:pStyle w:val="ListParagraph"/>
        <w:numPr>
          <w:ilvl w:val="0"/>
          <w:numId w:val="3"/>
        </w:numPr>
      </w:pPr>
      <w:r w:rsidRPr="003C117F">
        <w:t>Student may not take both FE 315 and CE 372 and count them both as part of their required 22 credits of engineering electives.</w:t>
      </w:r>
    </w:p>
    <w:p w:rsidR="00C34846" w:rsidRDefault="00C34846" w:rsidP="00FE0807">
      <w:pPr>
        <w:pStyle w:val="ListParagraph"/>
        <w:numPr>
          <w:ilvl w:val="0"/>
          <w:numId w:val="3"/>
        </w:numPr>
      </w:pPr>
      <w:r>
        <w:t>ENVE 321 is not allowed as an engineering elective</w:t>
      </w:r>
    </w:p>
    <w:sectPr w:rsidR="00C348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5E" w:rsidRDefault="004E385E" w:rsidP="004E385E">
      <w:pPr>
        <w:spacing w:after="0" w:line="240" w:lineRule="auto"/>
      </w:pPr>
      <w:r>
        <w:separator/>
      </w:r>
    </w:p>
  </w:endnote>
  <w:endnote w:type="continuationSeparator" w:id="0">
    <w:p w:rsidR="004E385E" w:rsidRDefault="004E385E" w:rsidP="004E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5E" w:rsidRDefault="004B09B7">
    <w:pPr>
      <w:pStyle w:val="Footer"/>
    </w:pPr>
    <w:r>
      <w:t xml:space="preserve">Updated </w:t>
    </w:r>
    <w:r w:rsidR="00A329D9">
      <w:fldChar w:fldCharType="begin"/>
    </w:r>
    <w:r w:rsidR="00A329D9">
      <w:instrText xml:space="preserve"> DATE \@ "M/d/yyyy" </w:instrText>
    </w:r>
    <w:r w:rsidR="00A329D9">
      <w:fldChar w:fldCharType="separate"/>
    </w:r>
    <w:r w:rsidR="006B04E8">
      <w:rPr>
        <w:noProof/>
      </w:rPr>
      <w:t>4/6/2015</w:t>
    </w:r>
    <w:r w:rsidR="00A329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5E" w:rsidRDefault="004E385E" w:rsidP="004E385E">
      <w:pPr>
        <w:spacing w:after="0" w:line="240" w:lineRule="auto"/>
      </w:pPr>
      <w:r>
        <w:separator/>
      </w:r>
    </w:p>
  </w:footnote>
  <w:footnote w:type="continuationSeparator" w:id="0">
    <w:p w:rsidR="004E385E" w:rsidRDefault="004E385E" w:rsidP="004E3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2F"/>
    <w:multiLevelType w:val="hybridMultilevel"/>
    <w:tmpl w:val="D2B4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D7335"/>
    <w:multiLevelType w:val="hybridMultilevel"/>
    <w:tmpl w:val="F27E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50DA0"/>
    <w:multiLevelType w:val="hybridMultilevel"/>
    <w:tmpl w:val="47C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CB"/>
    <w:rsid w:val="000164D0"/>
    <w:rsid w:val="00042B1B"/>
    <w:rsid w:val="00073991"/>
    <w:rsid w:val="000E29F1"/>
    <w:rsid w:val="00155A2C"/>
    <w:rsid w:val="0018702B"/>
    <w:rsid w:val="001B541F"/>
    <w:rsid w:val="001F1F64"/>
    <w:rsid w:val="002652BC"/>
    <w:rsid w:val="003316BD"/>
    <w:rsid w:val="003C117F"/>
    <w:rsid w:val="003F6A78"/>
    <w:rsid w:val="00424F8D"/>
    <w:rsid w:val="00435850"/>
    <w:rsid w:val="0045489B"/>
    <w:rsid w:val="00462C67"/>
    <w:rsid w:val="004A5335"/>
    <w:rsid w:val="004B09B7"/>
    <w:rsid w:val="004C4490"/>
    <w:rsid w:val="004D18FC"/>
    <w:rsid w:val="004E385E"/>
    <w:rsid w:val="0050687C"/>
    <w:rsid w:val="005431CB"/>
    <w:rsid w:val="0062253C"/>
    <w:rsid w:val="00690B0C"/>
    <w:rsid w:val="006B04E8"/>
    <w:rsid w:val="006D6372"/>
    <w:rsid w:val="008018BD"/>
    <w:rsid w:val="008552DA"/>
    <w:rsid w:val="00911027"/>
    <w:rsid w:val="00A329D9"/>
    <w:rsid w:val="00A6676E"/>
    <w:rsid w:val="00AA0C1F"/>
    <w:rsid w:val="00B51BCB"/>
    <w:rsid w:val="00C34846"/>
    <w:rsid w:val="00C56B29"/>
    <w:rsid w:val="00C779C7"/>
    <w:rsid w:val="00C9455A"/>
    <w:rsid w:val="00CB6652"/>
    <w:rsid w:val="00D8728E"/>
    <w:rsid w:val="00D96531"/>
    <w:rsid w:val="00DE0B2A"/>
    <w:rsid w:val="00E161B6"/>
    <w:rsid w:val="00E600A6"/>
    <w:rsid w:val="00F8370D"/>
    <w:rsid w:val="00FA7DD3"/>
    <w:rsid w:val="00FB50D9"/>
    <w:rsid w:val="00FE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5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A6"/>
    <w:pPr>
      <w:ind w:left="720"/>
      <w:contextualSpacing/>
    </w:pPr>
  </w:style>
  <w:style w:type="character" w:styleId="Hyperlink">
    <w:name w:val="Hyperlink"/>
    <w:basedOn w:val="DefaultParagraphFont"/>
    <w:uiPriority w:val="99"/>
    <w:unhideWhenUsed/>
    <w:rsid w:val="004D18FC"/>
    <w:rPr>
      <w:color w:val="0000FF" w:themeColor="hyperlink"/>
      <w:u w:val="single"/>
    </w:rPr>
  </w:style>
  <w:style w:type="table" w:styleId="TableGrid">
    <w:name w:val="Table Grid"/>
    <w:basedOn w:val="TableNormal"/>
    <w:uiPriority w:val="59"/>
    <w:rsid w:val="0042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4F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50D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55A2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E3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5E"/>
  </w:style>
  <w:style w:type="paragraph" w:styleId="Footer">
    <w:name w:val="footer"/>
    <w:basedOn w:val="Normal"/>
    <w:link w:val="FooterChar"/>
    <w:uiPriority w:val="99"/>
    <w:unhideWhenUsed/>
    <w:rsid w:val="004E3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5E"/>
  </w:style>
  <w:style w:type="character" w:styleId="FollowedHyperlink">
    <w:name w:val="FollowedHyperlink"/>
    <w:basedOn w:val="DefaultParagraphFont"/>
    <w:uiPriority w:val="99"/>
    <w:semiHidden/>
    <w:unhideWhenUsed/>
    <w:rsid w:val="006D6372"/>
    <w:rPr>
      <w:color w:val="800080" w:themeColor="followedHyperlink"/>
      <w:u w:val="single"/>
    </w:rPr>
  </w:style>
  <w:style w:type="paragraph" w:styleId="BalloonText">
    <w:name w:val="Balloon Text"/>
    <w:basedOn w:val="Normal"/>
    <w:link w:val="BalloonTextChar"/>
    <w:uiPriority w:val="99"/>
    <w:semiHidden/>
    <w:unhideWhenUsed/>
    <w:rsid w:val="00A3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5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A6"/>
    <w:pPr>
      <w:ind w:left="720"/>
      <w:contextualSpacing/>
    </w:pPr>
  </w:style>
  <w:style w:type="character" w:styleId="Hyperlink">
    <w:name w:val="Hyperlink"/>
    <w:basedOn w:val="DefaultParagraphFont"/>
    <w:uiPriority w:val="99"/>
    <w:unhideWhenUsed/>
    <w:rsid w:val="004D18FC"/>
    <w:rPr>
      <w:color w:val="0000FF" w:themeColor="hyperlink"/>
      <w:u w:val="single"/>
    </w:rPr>
  </w:style>
  <w:style w:type="table" w:styleId="TableGrid">
    <w:name w:val="Table Grid"/>
    <w:basedOn w:val="TableNormal"/>
    <w:uiPriority w:val="59"/>
    <w:rsid w:val="0042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4F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50D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55A2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E3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5E"/>
  </w:style>
  <w:style w:type="paragraph" w:styleId="Footer">
    <w:name w:val="footer"/>
    <w:basedOn w:val="Normal"/>
    <w:link w:val="FooterChar"/>
    <w:uiPriority w:val="99"/>
    <w:unhideWhenUsed/>
    <w:rsid w:val="004E3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5E"/>
  </w:style>
  <w:style w:type="character" w:styleId="FollowedHyperlink">
    <w:name w:val="FollowedHyperlink"/>
    <w:basedOn w:val="DefaultParagraphFont"/>
    <w:uiPriority w:val="99"/>
    <w:semiHidden/>
    <w:unhideWhenUsed/>
    <w:rsid w:val="006D6372"/>
    <w:rPr>
      <w:color w:val="800080" w:themeColor="followedHyperlink"/>
      <w:u w:val="single"/>
    </w:rPr>
  </w:style>
  <w:style w:type="paragraph" w:styleId="BalloonText">
    <w:name w:val="Balloon Text"/>
    <w:basedOn w:val="Normal"/>
    <w:link w:val="BalloonTextChar"/>
    <w:uiPriority w:val="99"/>
    <w:semiHidden/>
    <w:unhideWhenUsed/>
    <w:rsid w:val="00A3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6515">
      <w:bodyDiv w:val="1"/>
      <w:marLeft w:val="0"/>
      <w:marRight w:val="0"/>
      <w:marTop w:val="0"/>
      <w:marBottom w:val="0"/>
      <w:divBdr>
        <w:top w:val="none" w:sz="0" w:space="0" w:color="auto"/>
        <w:left w:val="none" w:sz="0" w:space="0" w:color="auto"/>
        <w:bottom w:val="none" w:sz="0" w:space="0" w:color="auto"/>
        <w:right w:val="none" w:sz="0" w:space="0" w:color="auto"/>
      </w:divBdr>
    </w:div>
    <w:div w:id="529687947">
      <w:bodyDiv w:val="1"/>
      <w:marLeft w:val="0"/>
      <w:marRight w:val="0"/>
      <w:marTop w:val="0"/>
      <w:marBottom w:val="0"/>
      <w:divBdr>
        <w:top w:val="none" w:sz="0" w:space="0" w:color="auto"/>
        <w:left w:val="none" w:sz="0" w:space="0" w:color="auto"/>
        <w:bottom w:val="none" w:sz="0" w:space="0" w:color="auto"/>
        <w:right w:val="none" w:sz="0" w:space="0" w:color="auto"/>
      </w:divBdr>
    </w:div>
    <w:div w:id="562180851">
      <w:bodyDiv w:val="1"/>
      <w:marLeft w:val="0"/>
      <w:marRight w:val="0"/>
      <w:marTop w:val="0"/>
      <w:marBottom w:val="0"/>
      <w:divBdr>
        <w:top w:val="none" w:sz="0" w:space="0" w:color="auto"/>
        <w:left w:val="none" w:sz="0" w:space="0" w:color="auto"/>
        <w:bottom w:val="none" w:sz="0" w:space="0" w:color="auto"/>
        <w:right w:val="none" w:sz="0" w:space="0" w:color="auto"/>
      </w:divBdr>
    </w:div>
    <w:div w:id="628782337">
      <w:bodyDiv w:val="1"/>
      <w:marLeft w:val="0"/>
      <w:marRight w:val="0"/>
      <w:marTop w:val="0"/>
      <w:marBottom w:val="0"/>
      <w:divBdr>
        <w:top w:val="none" w:sz="0" w:space="0" w:color="auto"/>
        <w:left w:val="none" w:sz="0" w:space="0" w:color="auto"/>
        <w:bottom w:val="none" w:sz="0" w:space="0" w:color="auto"/>
        <w:right w:val="none" w:sz="0" w:space="0" w:color="auto"/>
      </w:divBdr>
    </w:div>
    <w:div w:id="746608436">
      <w:bodyDiv w:val="1"/>
      <w:marLeft w:val="0"/>
      <w:marRight w:val="0"/>
      <w:marTop w:val="0"/>
      <w:marBottom w:val="0"/>
      <w:divBdr>
        <w:top w:val="none" w:sz="0" w:space="0" w:color="auto"/>
        <w:left w:val="none" w:sz="0" w:space="0" w:color="auto"/>
        <w:bottom w:val="none" w:sz="0" w:space="0" w:color="auto"/>
        <w:right w:val="none" w:sz="0" w:space="0" w:color="auto"/>
      </w:divBdr>
    </w:div>
    <w:div w:id="829758646">
      <w:bodyDiv w:val="1"/>
      <w:marLeft w:val="0"/>
      <w:marRight w:val="0"/>
      <w:marTop w:val="0"/>
      <w:marBottom w:val="0"/>
      <w:divBdr>
        <w:top w:val="none" w:sz="0" w:space="0" w:color="auto"/>
        <w:left w:val="none" w:sz="0" w:space="0" w:color="auto"/>
        <w:bottom w:val="none" w:sz="0" w:space="0" w:color="auto"/>
        <w:right w:val="none" w:sz="0" w:space="0" w:color="auto"/>
      </w:divBdr>
    </w:div>
    <w:div w:id="859314185">
      <w:bodyDiv w:val="1"/>
      <w:marLeft w:val="0"/>
      <w:marRight w:val="0"/>
      <w:marTop w:val="0"/>
      <w:marBottom w:val="0"/>
      <w:divBdr>
        <w:top w:val="none" w:sz="0" w:space="0" w:color="auto"/>
        <w:left w:val="none" w:sz="0" w:space="0" w:color="auto"/>
        <w:bottom w:val="none" w:sz="0" w:space="0" w:color="auto"/>
        <w:right w:val="none" w:sz="0" w:space="0" w:color="auto"/>
      </w:divBdr>
    </w:div>
    <w:div w:id="980426017">
      <w:bodyDiv w:val="1"/>
      <w:marLeft w:val="0"/>
      <w:marRight w:val="0"/>
      <w:marTop w:val="0"/>
      <w:marBottom w:val="0"/>
      <w:divBdr>
        <w:top w:val="none" w:sz="0" w:space="0" w:color="auto"/>
        <w:left w:val="none" w:sz="0" w:space="0" w:color="auto"/>
        <w:bottom w:val="none" w:sz="0" w:space="0" w:color="auto"/>
        <w:right w:val="none" w:sz="0" w:space="0" w:color="auto"/>
      </w:divBdr>
    </w:div>
    <w:div w:id="982080285">
      <w:bodyDiv w:val="1"/>
      <w:marLeft w:val="0"/>
      <w:marRight w:val="0"/>
      <w:marTop w:val="0"/>
      <w:marBottom w:val="0"/>
      <w:divBdr>
        <w:top w:val="none" w:sz="0" w:space="0" w:color="auto"/>
        <w:left w:val="none" w:sz="0" w:space="0" w:color="auto"/>
        <w:bottom w:val="none" w:sz="0" w:space="0" w:color="auto"/>
        <w:right w:val="none" w:sz="0" w:space="0" w:color="auto"/>
      </w:divBdr>
    </w:div>
    <w:div w:id="1016468697">
      <w:bodyDiv w:val="1"/>
      <w:marLeft w:val="0"/>
      <w:marRight w:val="0"/>
      <w:marTop w:val="0"/>
      <w:marBottom w:val="0"/>
      <w:divBdr>
        <w:top w:val="none" w:sz="0" w:space="0" w:color="auto"/>
        <w:left w:val="none" w:sz="0" w:space="0" w:color="auto"/>
        <w:bottom w:val="none" w:sz="0" w:space="0" w:color="auto"/>
        <w:right w:val="none" w:sz="0" w:space="0" w:color="auto"/>
      </w:divBdr>
    </w:div>
    <w:div w:id="1069764327">
      <w:bodyDiv w:val="1"/>
      <w:marLeft w:val="0"/>
      <w:marRight w:val="0"/>
      <w:marTop w:val="0"/>
      <w:marBottom w:val="0"/>
      <w:divBdr>
        <w:top w:val="none" w:sz="0" w:space="0" w:color="auto"/>
        <w:left w:val="none" w:sz="0" w:space="0" w:color="auto"/>
        <w:bottom w:val="none" w:sz="0" w:space="0" w:color="auto"/>
        <w:right w:val="none" w:sz="0" w:space="0" w:color="auto"/>
      </w:divBdr>
    </w:div>
    <w:div w:id="1221331178">
      <w:bodyDiv w:val="1"/>
      <w:marLeft w:val="0"/>
      <w:marRight w:val="0"/>
      <w:marTop w:val="0"/>
      <w:marBottom w:val="0"/>
      <w:divBdr>
        <w:top w:val="none" w:sz="0" w:space="0" w:color="auto"/>
        <w:left w:val="none" w:sz="0" w:space="0" w:color="auto"/>
        <w:bottom w:val="none" w:sz="0" w:space="0" w:color="auto"/>
        <w:right w:val="none" w:sz="0" w:space="0" w:color="auto"/>
      </w:divBdr>
    </w:div>
    <w:div w:id="1286808549">
      <w:bodyDiv w:val="1"/>
      <w:marLeft w:val="0"/>
      <w:marRight w:val="0"/>
      <w:marTop w:val="0"/>
      <w:marBottom w:val="0"/>
      <w:divBdr>
        <w:top w:val="none" w:sz="0" w:space="0" w:color="auto"/>
        <w:left w:val="none" w:sz="0" w:space="0" w:color="auto"/>
        <w:bottom w:val="none" w:sz="0" w:space="0" w:color="auto"/>
        <w:right w:val="none" w:sz="0" w:space="0" w:color="auto"/>
      </w:divBdr>
    </w:div>
    <w:div w:id="1367605547">
      <w:bodyDiv w:val="1"/>
      <w:marLeft w:val="0"/>
      <w:marRight w:val="0"/>
      <w:marTop w:val="0"/>
      <w:marBottom w:val="0"/>
      <w:divBdr>
        <w:top w:val="none" w:sz="0" w:space="0" w:color="auto"/>
        <w:left w:val="none" w:sz="0" w:space="0" w:color="auto"/>
        <w:bottom w:val="none" w:sz="0" w:space="0" w:color="auto"/>
        <w:right w:val="none" w:sz="0" w:space="0" w:color="auto"/>
      </w:divBdr>
    </w:div>
    <w:div w:id="1492602377">
      <w:bodyDiv w:val="1"/>
      <w:marLeft w:val="0"/>
      <w:marRight w:val="0"/>
      <w:marTop w:val="0"/>
      <w:marBottom w:val="0"/>
      <w:divBdr>
        <w:top w:val="none" w:sz="0" w:space="0" w:color="auto"/>
        <w:left w:val="none" w:sz="0" w:space="0" w:color="auto"/>
        <w:bottom w:val="none" w:sz="0" w:space="0" w:color="auto"/>
        <w:right w:val="none" w:sz="0" w:space="0" w:color="auto"/>
      </w:divBdr>
    </w:div>
    <w:div w:id="1500004018">
      <w:bodyDiv w:val="1"/>
      <w:marLeft w:val="0"/>
      <w:marRight w:val="0"/>
      <w:marTop w:val="0"/>
      <w:marBottom w:val="0"/>
      <w:divBdr>
        <w:top w:val="none" w:sz="0" w:space="0" w:color="auto"/>
        <w:left w:val="none" w:sz="0" w:space="0" w:color="auto"/>
        <w:bottom w:val="none" w:sz="0" w:space="0" w:color="auto"/>
        <w:right w:val="none" w:sz="0" w:space="0" w:color="auto"/>
      </w:divBdr>
    </w:div>
    <w:div w:id="1540825778">
      <w:bodyDiv w:val="1"/>
      <w:marLeft w:val="0"/>
      <w:marRight w:val="0"/>
      <w:marTop w:val="0"/>
      <w:marBottom w:val="0"/>
      <w:divBdr>
        <w:top w:val="none" w:sz="0" w:space="0" w:color="auto"/>
        <w:left w:val="none" w:sz="0" w:space="0" w:color="auto"/>
        <w:bottom w:val="none" w:sz="0" w:space="0" w:color="auto"/>
        <w:right w:val="none" w:sz="0" w:space="0" w:color="auto"/>
      </w:divBdr>
    </w:div>
    <w:div w:id="1582178374">
      <w:bodyDiv w:val="1"/>
      <w:marLeft w:val="0"/>
      <w:marRight w:val="0"/>
      <w:marTop w:val="0"/>
      <w:marBottom w:val="0"/>
      <w:divBdr>
        <w:top w:val="none" w:sz="0" w:space="0" w:color="auto"/>
        <w:left w:val="none" w:sz="0" w:space="0" w:color="auto"/>
        <w:bottom w:val="none" w:sz="0" w:space="0" w:color="auto"/>
        <w:right w:val="none" w:sz="0" w:space="0" w:color="auto"/>
      </w:divBdr>
    </w:div>
    <w:div w:id="1735422473">
      <w:bodyDiv w:val="1"/>
      <w:marLeft w:val="0"/>
      <w:marRight w:val="0"/>
      <w:marTop w:val="0"/>
      <w:marBottom w:val="0"/>
      <w:divBdr>
        <w:top w:val="none" w:sz="0" w:space="0" w:color="auto"/>
        <w:left w:val="none" w:sz="0" w:space="0" w:color="auto"/>
        <w:bottom w:val="none" w:sz="0" w:space="0" w:color="auto"/>
        <w:right w:val="none" w:sz="0" w:space="0" w:color="auto"/>
      </w:divBdr>
    </w:div>
    <w:div w:id="1825389468">
      <w:bodyDiv w:val="1"/>
      <w:marLeft w:val="0"/>
      <w:marRight w:val="0"/>
      <w:marTop w:val="0"/>
      <w:marBottom w:val="0"/>
      <w:divBdr>
        <w:top w:val="none" w:sz="0" w:space="0" w:color="auto"/>
        <w:left w:val="none" w:sz="0" w:space="0" w:color="auto"/>
        <w:bottom w:val="none" w:sz="0" w:space="0" w:color="auto"/>
        <w:right w:val="none" w:sz="0" w:space="0" w:color="auto"/>
      </w:divBdr>
    </w:div>
    <w:div w:id="2033603381">
      <w:bodyDiv w:val="1"/>
      <w:marLeft w:val="0"/>
      <w:marRight w:val="0"/>
      <w:marTop w:val="0"/>
      <w:marBottom w:val="0"/>
      <w:divBdr>
        <w:top w:val="none" w:sz="0" w:space="0" w:color="auto"/>
        <w:left w:val="none" w:sz="0" w:space="0" w:color="auto"/>
        <w:bottom w:val="none" w:sz="0" w:space="0" w:color="auto"/>
        <w:right w:val="none" w:sz="0" w:space="0" w:color="auto"/>
      </w:divBdr>
    </w:div>
    <w:div w:id="2056343087">
      <w:bodyDiv w:val="1"/>
      <w:marLeft w:val="0"/>
      <w:marRight w:val="0"/>
      <w:marTop w:val="0"/>
      <w:marBottom w:val="0"/>
      <w:divBdr>
        <w:top w:val="none" w:sz="0" w:space="0" w:color="auto"/>
        <w:left w:val="none" w:sz="0" w:space="0" w:color="auto"/>
        <w:bottom w:val="none" w:sz="0" w:space="0" w:color="auto"/>
        <w:right w:val="none" w:sz="0" w:space="0" w:color="auto"/>
      </w:divBdr>
    </w:div>
    <w:div w:id="2104062999">
      <w:bodyDiv w:val="1"/>
      <w:marLeft w:val="0"/>
      <w:marRight w:val="0"/>
      <w:marTop w:val="0"/>
      <w:marBottom w:val="0"/>
      <w:divBdr>
        <w:top w:val="none" w:sz="0" w:space="0" w:color="auto"/>
        <w:left w:val="none" w:sz="0" w:space="0" w:color="auto"/>
        <w:bottom w:val="none" w:sz="0" w:space="0" w:color="auto"/>
        <w:right w:val="none" w:sz="0" w:space="0" w:color="auto"/>
      </w:divBdr>
    </w:div>
    <w:div w:id="21247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cs.oregonstate.edu/transfer-cre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Martin</dc:creator>
  <cp:keywords/>
  <dc:description/>
  <cp:lastModifiedBy>Kathleen Martin</cp:lastModifiedBy>
  <cp:revision>40</cp:revision>
  <dcterms:created xsi:type="dcterms:W3CDTF">2014-07-11T23:37:00Z</dcterms:created>
  <dcterms:modified xsi:type="dcterms:W3CDTF">2015-04-06T15:54:00Z</dcterms:modified>
</cp:coreProperties>
</file>