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50751" w14:textId="77777777" w:rsidR="007C67AA" w:rsidRDefault="006E14EC" w:rsidP="007C67AA">
      <w:pPr>
        <w:ind w:left="-180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Oregon State University </w:t>
      </w:r>
      <w:proofErr w:type="spellStart"/>
      <w:r>
        <w:rPr>
          <w:rFonts w:ascii="Bernard MT Condensed" w:hAnsi="Bernard MT Condensed"/>
          <w:sz w:val="32"/>
          <w:szCs w:val="32"/>
        </w:rPr>
        <w:t>Masters</w:t>
      </w:r>
      <w:proofErr w:type="spellEnd"/>
      <w:r>
        <w:rPr>
          <w:rFonts w:ascii="Bernard MT Condensed" w:hAnsi="Bernard MT Condensed"/>
          <w:sz w:val="32"/>
          <w:szCs w:val="32"/>
        </w:rPr>
        <w:t xml:space="preserve"> of Science in Agricultural Education</w:t>
      </w:r>
    </w:p>
    <w:p w14:paraId="117FE4C3" w14:textId="77F03A8E" w:rsidR="006E14EC" w:rsidRPr="007C67AA" w:rsidRDefault="007C67AA" w:rsidP="0028016A">
      <w:pPr>
        <w:ind w:left="-180"/>
        <w:rPr>
          <w:rFonts w:ascii="Bernard MT Condensed" w:hAnsi="Bernard MT Condensed"/>
          <w:sz w:val="32"/>
          <w:szCs w:val="32"/>
        </w:rPr>
      </w:pPr>
      <w:r w:rsidRPr="007C67AA">
        <w:rPr>
          <w:rFonts w:cstheme="minorHAnsi"/>
          <w:b/>
        </w:rPr>
        <w:t>STEP</w:t>
      </w:r>
      <w:r w:rsidR="006E14EC" w:rsidRPr="00E71BC1">
        <w:rPr>
          <w:rFonts w:cstheme="minorHAnsi"/>
          <w:b/>
        </w:rPr>
        <w:t xml:space="preserve"> 1: COMPLETE PREREQUISITES FOR THE PROGRAM</w:t>
      </w:r>
    </w:p>
    <w:p w14:paraId="47947ED1" w14:textId="19D5A35F" w:rsidR="00E71BC1" w:rsidRPr="001A00F4" w:rsidRDefault="00B7243E" w:rsidP="00120E7A">
      <w:pPr>
        <w:pStyle w:val="ListParagraph"/>
        <w:numPr>
          <w:ilvl w:val="0"/>
          <w:numId w:val="26"/>
        </w:numPr>
        <w:shd w:val="clear" w:color="auto" w:fill="FFFFFF"/>
        <w:ind w:left="360" w:right="240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>LEAD</w:t>
      </w:r>
      <w:r w:rsidR="00E71BC1" w:rsidRPr="001A00F4">
        <w:rPr>
          <w:rFonts w:eastAsia="Times New Roman" w:cstheme="minorHAnsi"/>
          <w:color w:val="000000"/>
        </w:rPr>
        <w:t xml:space="preserve"> 242 (3) Personal Leadership (W</w:t>
      </w:r>
      <w:r>
        <w:rPr>
          <w:rFonts w:eastAsia="Times New Roman" w:cstheme="minorHAnsi"/>
          <w:color w:val="000000"/>
        </w:rPr>
        <w:t xml:space="preserve"> on campus; W </w:t>
      </w:r>
      <w:proofErr w:type="spellStart"/>
      <w:r>
        <w:rPr>
          <w:rFonts w:eastAsia="Times New Roman" w:cstheme="minorHAnsi"/>
          <w:color w:val="000000"/>
        </w:rPr>
        <w:t>Sp</w:t>
      </w:r>
      <w:proofErr w:type="spellEnd"/>
      <w:r>
        <w:rPr>
          <w:rFonts w:eastAsia="Times New Roman" w:cstheme="minorHAnsi"/>
          <w:color w:val="000000"/>
        </w:rPr>
        <w:t xml:space="preserve"> and Su online</w:t>
      </w:r>
      <w:r w:rsidR="00E71BC1" w:rsidRPr="001A00F4">
        <w:rPr>
          <w:rFonts w:eastAsia="Times New Roman" w:cstheme="minorHAnsi"/>
          <w:color w:val="000000"/>
        </w:rPr>
        <w:t xml:space="preserve">) </w:t>
      </w:r>
      <w:r w:rsidR="00E71BC1" w:rsidRPr="001A00F4">
        <w:rPr>
          <w:rFonts w:eastAsia="Times New Roman" w:cstheme="minorHAnsi"/>
          <w:b/>
          <w:color w:val="000000"/>
        </w:rPr>
        <w:t>OR</w:t>
      </w:r>
    </w:p>
    <w:p w14:paraId="26D1E7E0" w14:textId="13ED7FF7" w:rsidR="00E71BC1" w:rsidRPr="001A00F4" w:rsidRDefault="00B7243E" w:rsidP="001A00F4">
      <w:pPr>
        <w:pStyle w:val="ListParagraph"/>
        <w:shd w:val="clear" w:color="auto" w:fill="FFFFFF"/>
        <w:ind w:left="36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LEAD</w:t>
      </w:r>
      <w:r w:rsidR="00E71BC1" w:rsidRPr="001A00F4">
        <w:rPr>
          <w:rFonts w:eastAsia="Times New Roman" w:cstheme="minorHAnsi"/>
          <w:color w:val="000000"/>
        </w:rPr>
        <w:t xml:space="preserve"> 342 (3) Team and Organizational Leadership (</w:t>
      </w:r>
      <w:proofErr w:type="spellStart"/>
      <w:r w:rsidR="004825F3">
        <w:rPr>
          <w:rFonts w:eastAsia="Times New Roman" w:cstheme="minorHAnsi"/>
          <w:color w:val="000000"/>
        </w:rPr>
        <w:t>Sp</w:t>
      </w:r>
      <w:proofErr w:type="spellEnd"/>
      <w:r w:rsidR="0028016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and Su online: </w:t>
      </w:r>
      <w:proofErr w:type="spellStart"/>
      <w:r>
        <w:rPr>
          <w:rFonts w:eastAsia="Times New Roman" w:cstheme="minorHAnsi"/>
          <w:color w:val="000000"/>
        </w:rPr>
        <w:t>Sp</w:t>
      </w:r>
      <w:proofErr w:type="spellEnd"/>
      <w:r>
        <w:rPr>
          <w:rFonts w:eastAsia="Times New Roman" w:cstheme="minorHAnsi"/>
          <w:color w:val="000000"/>
        </w:rPr>
        <w:t xml:space="preserve"> </w:t>
      </w:r>
      <w:r w:rsidR="00E71BC1" w:rsidRPr="001A00F4">
        <w:rPr>
          <w:rFonts w:eastAsia="Times New Roman" w:cstheme="minorHAnsi"/>
          <w:color w:val="000000"/>
        </w:rPr>
        <w:t>on campus)</w:t>
      </w:r>
    </w:p>
    <w:p w14:paraId="5DB94EF2" w14:textId="24C8D5FE" w:rsidR="00E71BC1" w:rsidRPr="00E71BC1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E71BC1">
        <w:rPr>
          <w:rFonts w:eastAsia="Times New Roman" w:cstheme="minorHAnsi"/>
          <w:color w:val="000000"/>
        </w:rPr>
        <w:t>AG</w:t>
      </w:r>
      <w:r w:rsidR="00B7243E">
        <w:rPr>
          <w:rFonts w:eastAsia="Times New Roman" w:cstheme="minorHAnsi"/>
          <w:color w:val="000000"/>
        </w:rPr>
        <w:t xml:space="preserve"> 221 (3) – Metals &amp; Welding (</w:t>
      </w:r>
      <w:proofErr w:type="spellStart"/>
      <w:r w:rsidR="00B7243E">
        <w:rPr>
          <w:rFonts w:eastAsia="Times New Roman" w:cstheme="minorHAnsi"/>
          <w:color w:val="000000"/>
        </w:rPr>
        <w:t>Sp</w:t>
      </w:r>
      <w:proofErr w:type="spellEnd"/>
      <w:r w:rsidR="00B7243E">
        <w:rPr>
          <w:rFonts w:eastAsia="Times New Roman" w:cstheme="minorHAnsi"/>
          <w:color w:val="000000"/>
        </w:rPr>
        <w:t xml:space="preserve"> – </w:t>
      </w:r>
      <w:r w:rsidR="00907908">
        <w:rPr>
          <w:rFonts w:eastAsia="Times New Roman" w:cstheme="minorHAnsi"/>
          <w:color w:val="000000"/>
        </w:rPr>
        <w:t xml:space="preserve">recommended </w:t>
      </w:r>
      <w:r w:rsidR="00B7243E">
        <w:rPr>
          <w:rFonts w:eastAsia="Times New Roman" w:cstheme="minorHAnsi"/>
          <w:color w:val="000000"/>
        </w:rPr>
        <w:t>but currently not offered)</w:t>
      </w:r>
    </w:p>
    <w:p w14:paraId="3D777879" w14:textId="7E65B073" w:rsidR="004258CB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AG 312 (3) – Engine Theory &amp; Operation</w:t>
      </w:r>
      <w:r w:rsidR="00B7243E">
        <w:rPr>
          <w:rFonts w:eastAsia="Times New Roman" w:cstheme="minorHAnsi"/>
          <w:color w:val="000000"/>
        </w:rPr>
        <w:t xml:space="preserve"> (W – </w:t>
      </w:r>
      <w:r w:rsidR="00907908">
        <w:rPr>
          <w:rFonts w:eastAsia="Times New Roman" w:cstheme="minorHAnsi"/>
          <w:color w:val="000000"/>
        </w:rPr>
        <w:t xml:space="preserve">recommended </w:t>
      </w:r>
      <w:r w:rsidR="00B7243E">
        <w:rPr>
          <w:rFonts w:eastAsia="Times New Roman" w:cstheme="minorHAnsi"/>
          <w:color w:val="000000"/>
        </w:rPr>
        <w:t>but currently not offered</w:t>
      </w:r>
      <w:r w:rsidR="0028016A">
        <w:rPr>
          <w:rFonts w:eastAsia="Times New Roman" w:cstheme="minorHAnsi"/>
          <w:color w:val="000000"/>
        </w:rPr>
        <w:t xml:space="preserve"> at OSU</w:t>
      </w:r>
      <w:r w:rsidR="00B7243E">
        <w:rPr>
          <w:rFonts w:eastAsia="Times New Roman" w:cstheme="minorHAnsi"/>
          <w:color w:val="000000"/>
        </w:rPr>
        <w:t>)</w:t>
      </w:r>
      <w:r w:rsidR="004258CB" w:rsidRPr="00B7243E">
        <w:rPr>
          <w:rFonts w:eastAsia="Times New Roman" w:cstheme="minorHAnsi"/>
          <w:color w:val="000000"/>
        </w:rPr>
        <w:t xml:space="preserve"> </w:t>
      </w:r>
      <w:r w:rsidR="004258CB" w:rsidRPr="00B7243E">
        <w:rPr>
          <w:rFonts w:eastAsia="Times New Roman" w:cstheme="minorHAnsi"/>
          <w:b/>
          <w:color w:val="000000"/>
        </w:rPr>
        <w:t>OR</w:t>
      </w:r>
      <w:r w:rsidR="004258CB" w:rsidRPr="00B7243E">
        <w:rPr>
          <w:rFonts w:eastAsia="Times New Roman" w:cstheme="minorHAnsi"/>
          <w:color w:val="000000"/>
        </w:rPr>
        <w:t xml:space="preserve"> </w:t>
      </w:r>
    </w:p>
    <w:p w14:paraId="29167A33" w14:textId="407561DA" w:rsidR="00E71BC1" w:rsidRPr="00B7243E" w:rsidRDefault="004258CB" w:rsidP="004258CB">
      <w:p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 xml:space="preserve">AG 391 (3) – Farm Implements (online </w:t>
      </w:r>
      <w:r w:rsidR="00B7243E">
        <w:rPr>
          <w:rFonts w:eastAsia="Times New Roman" w:cstheme="minorHAnsi"/>
          <w:color w:val="000000"/>
        </w:rPr>
        <w:t>F and Su</w:t>
      </w:r>
      <w:r w:rsidRPr="00B7243E">
        <w:rPr>
          <w:rFonts w:eastAsia="Times New Roman" w:cstheme="minorHAnsi"/>
          <w:color w:val="000000"/>
        </w:rPr>
        <w:t>)</w:t>
      </w:r>
    </w:p>
    <w:p w14:paraId="5E5AB9A9" w14:textId="3ECA31C5" w:rsidR="00E71BC1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AG 412 (3) – Agr</w:t>
      </w:r>
      <w:r w:rsidR="000F7BF7" w:rsidRPr="00B7243E">
        <w:rPr>
          <w:rFonts w:eastAsia="Times New Roman" w:cstheme="minorHAnsi"/>
          <w:color w:val="000000"/>
        </w:rPr>
        <w:t xml:space="preserve">icultural Safety and Health (W on campus and online; </w:t>
      </w:r>
      <w:r w:rsidRPr="00B7243E">
        <w:rPr>
          <w:rFonts w:eastAsia="Times New Roman" w:cstheme="minorHAnsi"/>
          <w:color w:val="000000"/>
        </w:rPr>
        <w:t>Su online)</w:t>
      </w:r>
    </w:p>
    <w:p w14:paraId="59917F01" w14:textId="3182E5DB" w:rsidR="00E71BC1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ANS 121 (4) – In</w:t>
      </w:r>
      <w:r w:rsidR="00B7243E">
        <w:rPr>
          <w:rFonts w:eastAsia="Times New Roman" w:cstheme="minorHAnsi"/>
          <w:color w:val="000000"/>
        </w:rPr>
        <w:t>troduction to Animal Sciences (all terms and online)</w:t>
      </w:r>
    </w:p>
    <w:p w14:paraId="5E16645B" w14:textId="419C4B85" w:rsidR="004825F3" w:rsidRPr="00B7243E" w:rsidRDefault="00E71BC1" w:rsidP="00D50AD3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 xml:space="preserve">ANS 313 (4) – Applied Animal Nutrition (W) </w:t>
      </w:r>
      <w:r w:rsidRPr="00B7243E">
        <w:rPr>
          <w:rFonts w:eastAsia="Times New Roman" w:cstheme="minorHAnsi"/>
          <w:b/>
          <w:color w:val="000000"/>
        </w:rPr>
        <w:t>OR</w:t>
      </w:r>
      <w:r w:rsidRPr="00B7243E">
        <w:rPr>
          <w:rFonts w:eastAsia="Times New Roman" w:cstheme="minorHAnsi"/>
          <w:color w:val="000000"/>
        </w:rPr>
        <w:t xml:space="preserve"> </w:t>
      </w:r>
      <w:r w:rsidR="004825F3" w:rsidRPr="00B7243E">
        <w:rPr>
          <w:rFonts w:eastAsia="Times New Roman" w:cstheme="minorHAnsi"/>
          <w:color w:val="000000"/>
        </w:rPr>
        <w:t>equivalent nutrition course</w:t>
      </w:r>
      <w:r w:rsidR="00D50AD3" w:rsidRPr="00B7243E">
        <w:rPr>
          <w:rFonts w:eastAsia="Times New Roman" w:cstheme="minorHAnsi"/>
          <w:color w:val="000000"/>
        </w:rPr>
        <w:t>/series</w:t>
      </w:r>
    </w:p>
    <w:p w14:paraId="5EE3CFFF" w14:textId="750DB7CA" w:rsidR="001A00F4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 xml:space="preserve">ANS 231 (2) – Livestock </w:t>
      </w:r>
      <w:proofErr w:type="gramStart"/>
      <w:r w:rsidRPr="00B7243E">
        <w:rPr>
          <w:rFonts w:eastAsia="Times New Roman" w:cstheme="minorHAnsi"/>
          <w:color w:val="000000"/>
        </w:rPr>
        <w:t xml:space="preserve">Evaluation </w:t>
      </w:r>
      <w:r w:rsidR="00B7243E">
        <w:rPr>
          <w:rFonts w:eastAsia="Times New Roman" w:cstheme="minorHAnsi"/>
          <w:color w:val="000000"/>
        </w:rPr>
        <w:t xml:space="preserve"> (</w:t>
      </w:r>
      <w:proofErr w:type="spellStart"/>
      <w:proofErr w:type="gramEnd"/>
      <w:r w:rsidR="00B7243E">
        <w:rPr>
          <w:rFonts w:eastAsia="Times New Roman" w:cstheme="minorHAnsi"/>
          <w:color w:val="000000"/>
        </w:rPr>
        <w:t>sp</w:t>
      </w:r>
      <w:proofErr w:type="spellEnd"/>
      <w:r w:rsidR="00B7243E">
        <w:rPr>
          <w:rFonts w:eastAsia="Times New Roman" w:cstheme="minorHAnsi"/>
          <w:color w:val="000000"/>
        </w:rPr>
        <w:t xml:space="preserve">) </w:t>
      </w:r>
      <w:r w:rsidRPr="00B7243E">
        <w:rPr>
          <w:rFonts w:eastAsia="Times New Roman" w:cstheme="minorHAnsi"/>
          <w:b/>
          <w:color w:val="000000"/>
        </w:rPr>
        <w:t>OR</w:t>
      </w:r>
    </w:p>
    <w:p w14:paraId="64AF54A2" w14:textId="4F46B3B0" w:rsidR="00E71BC1" w:rsidRPr="00B7243E" w:rsidRDefault="001A00F4" w:rsidP="001A00F4">
      <w:p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ANS 230 (2) – D</w:t>
      </w:r>
      <w:r w:rsidR="00E71BC1" w:rsidRPr="00B7243E">
        <w:rPr>
          <w:rFonts w:eastAsia="Times New Roman" w:cstheme="minorHAnsi"/>
          <w:color w:val="000000"/>
        </w:rPr>
        <w:t>airy Evaluation</w:t>
      </w:r>
      <w:r w:rsidR="00BB1A90">
        <w:rPr>
          <w:rFonts w:eastAsia="Times New Roman" w:cstheme="minorHAnsi"/>
          <w:color w:val="000000"/>
        </w:rPr>
        <w:t xml:space="preserve"> </w:t>
      </w:r>
      <w:r w:rsidR="00BB1A90" w:rsidRPr="00BB1A90">
        <w:rPr>
          <w:rFonts w:eastAsia="Times New Roman" w:cstheme="minorHAnsi"/>
          <w:b/>
          <w:color w:val="000000"/>
        </w:rPr>
        <w:t>OR</w:t>
      </w:r>
      <w:r w:rsidR="00BB1A90">
        <w:rPr>
          <w:rFonts w:eastAsia="Times New Roman" w:cstheme="minorHAnsi"/>
          <w:color w:val="000000"/>
        </w:rPr>
        <w:t xml:space="preserve"> equivalent experience</w:t>
      </w:r>
    </w:p>
    <w:p w14:paraId="354EB361" w14:textId="1CEAC17E" w:rsidR="00E71BC1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SOIL 205 (3)</w:t>
      </w:r>
      <w:r w:rsidR="00B7243E">
        <w:rPr>
          <w:rFonts w:eastAsia="Times New Roman" w:cstheme="minorHAnsi"/>
          <w:color w:val="000000"/>
        </w:rPr>
        <w:t xml:space="preserve"> with SOIL 206 (1) – Soil Science plus lab</w:t>
      </w:r>
      <w:r w:rsidRPr="00B7243E">
        <w:rPr>
          <w:rFonts w:eastAsia="Times New Roman" w:cstheme="minorHAnsi"/>
          <w:color w:val="000000"/>
        </w:rPr>
        <w:t xml:space="preserve"> </w:t>
      </w:r>
      <w:r w:rsidR="009A0670" w:rsidRPr="00B7243E">
        <w:rPr>
          <w:rFonts w:eastAsia="Times New Roman" w:cstheme="minorHAnsi"/>
          <w:b/>
          <w:color w:val="000000"/>
        </w:rPr>
        <w:t>OR</w:t>
      </w:r>
      <w:r w:rsidRPr="00B7243E">
        <w:rPr>
          <w:rFonts w:eastAsia="Times New Roman" w:cstheme="minorHAnsi"/>
          <w:color w:val="000000"/>
        </w:rPr>
        <w:t xml:space="preserve"> equivalent soils course (all terms) </w:t>
      </w:r>
    </w:p>
    <w:p w14:paraId="274452A0" w14:textId="77777777" w:rsidR="00E71BC1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 xml:space="preserve">CROP/HORT 300 (4) – Introduction to Crop Production </w:t>
      </w:r>
      <w:r w:rsidR="009A0670" w:rsidRPr="00B7243E">
        <w:rPr>
          <w:rFonts w:eastAsia="Times New Roman" w:cstheme="minorHAnsi"/>
          <w:b/>
          <w:color w:val="000000"/>
        </w:rPr>
        <w:t>OR</w:t>
      </w:r>
      <w:r w:rsidRPr="00B7243E">
        <w:rPr>
          <w:rFonts w:eastAsia="Times New Roman" w:cstheme="minorHAnsi"/>
          <w:color w:val="000000"/>
        </w:rPr>
        <w:t xml:space="preserve"> equivalent crops course (</w:t>
      </w:r>
      <w:r w:rsidR="000F7BF7" w:rsidRPr="00B7243E">
        <w:rPr>
          <w:rFonts w:eastAsia="Times New Roman" w:cstheme="minorHAnsi"/>
          <w:color w:val="000000"/>
        </w:rPr>
        <w:t>F</w:t>
      </w:r>
      <w:r w:rsidRPr="00B7243E">
        <w:rPr>
          <w:rFonts w:eastAsia="Times New Roman" w:cstheme="minorHAnsi"/>
          <w:color w:val="000000"/>
        </w:rPr>
        <w:t>)</w:t>
      </w:r>
    </w:p>
    <w:p w14:paraId="03229B6C" w14:textId="77AB36E4" w:rsidR="001A00F4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HORT 301 (</w:t>
      </w:r>
      <w:r w:rsidR="0028016A">
        <w:rPr>
          <w:rFonts w:eastAsia="Times New Roman" w:cstheme="minorHAnsi"/>
          <w:color w:val="000000"/>
        </w:rPr>
        <w:t>3</w:t>
      </w:r>
      <w:r w:rsidRPr="00B7243E">
        <w:rPr>
          <w:rFonts w:eastAsia="Times New Roman" w:cstheme="minorHAnsi"/>
          <w:color w:val="000000"/>
        </w:rPr>
        <w:t xml:space="preserve">) – Principles of Horticulture </w:t>
      </w:r>
      <w:r w:rsidRPr="00B7243E">
        <w:rPr>
          <w:rFonts w:eastAsia="Times New Roman" w:cstheme="minorHAnsi"/>
          <w:b/>
          <w:color w:val="000000"/>
        </w:rPr>
        <w:t>AND</w:t>
      </w:r>
      <w:r w:rsidRPr="00B7243E">
        <w:rPr>
          <w:rFonts w:eastAsia="Times New Roman" w:cstheme="minorHAnsi"/>
          <w:color w:val="000000"/>
        </w:rPr>
        <w:t xml:space="preserve"> (F campus and online)</w:t>
      </w:r>
    </w:p>
    <w:p w14:paraId="61B122CC" w14:textId="77777777" w:rsidR="00E71BC1" w:rsidRPr="00B7243E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 xml:space="preserve">HORT 311 (4) – Plant Propagation (W) </w:t>
      </w:r>
      <w:r w:rsidRPr="00B7243E">
        <w:rPr>
          <w:rFonts w:eastAsia="Times New Roman" w:cstheme="minorHAnsi"/>
          <w:b/>
          <w:color w:val="000000"/>
        </w:rPr>
        <w:t>OR</w:t>
      </w:r>
    </w:p>
    <w:p w14:paraId="6390DE86" w14:textId="77777777" w:rsidR="00E71BC1" w:rsidRPr="00B7243E" w:rsidRDefault="00E71BC1" w:rsidP="001A00F4">
      <w:pPr>
        <w:pStyle w:val="ListParagraph"/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HORT 351 (4) – Floriculture and Greenhouse Systems (</w:t>
      </w:r>
      <w:proofErr w:type="spellStart"/>
      <w:r w:rsidRPr="00B7243E">
        <w:rPr>
          <w:rFonts w:eastAsia="Times New Roman" w:cstheme="minorHAnsi"/>
          <w:color w:val="000000"/>
        </w:rPr>
        <w:t>Sp</w:t>
      </w:r>
      <w:proofErr w:type="spellEnd"/>
      <w:r w:rsidRPr="00B7243E">
        <w:rPr>
          <w:rFonts w:eastAsia="Times New Roman" w:cstheme="minorHAnsi"/>
          <w:color w:val="000000"/>
        </w:rPr>
        <w:t xml:space="preserve"> alt years with 361) </w:t>
      </w:r>
      <w:r w:rsidRPr="00B7243E">
        <w:rPr>
          <w:rFonts w:eastAsia="Times New Roman" w:cstheme="minorHAnsi"/>
          <w:b/>
          <w:color w:val="000000"/>
        </w:rPr>
        <w:t>OR</w:t>
      </w:r>
    </w:p>
    <w:p w14:paraId="47B5B988" w14:textId="77777777" w:rsidR="00E71BC1" w:rsidRPr="00B7243E" w:rsidRDefault="00E71BC1" w:rsidP="001A00F4">
      <w:pPr>
        <w:pStyle w:val="ListParagraph"/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HORT 361 (4) – Plant Nursery Systems (</w:t>
      </w:r>
      <w:proofErr w:type="spellStart"/>
      <w:r w:rsidRPr="00B7243E">
        <w:rPr>
          <w:rFonts w:eastAsia="Times New Roman" w:cstheme="minorHAnsi"/>
          <w:color w:val="000000"/>
        </w:rPr>
        <w:t>Sp</w:t>
      </w:r>
      <w:proofErr w:type="spellEnd"/>
      <w:r w:rsidRPr="00B7243E">
        <w:rPr>
          <w:rFonts w:eastAsia="Times New Roman" w:cstheme="minorHAnsi"/>
          <w:color w:val="000000"/>
        </w:rPr>
        <w:t xml:space="preserve"> alt years with 351)</w:t>
      </w:r>
    </w:p>
    <w:p w14:paraId="219B841A" w14:textId="7917329F" w:rsidR="00E71BC1" w:rsidRPr="00B7243E" w:rsidRDefault="00B7243E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E71BC1" w:rsidRPr="00B7243E">
        <w:rPr>
          <w:rFonts w:eastAsia="Times New Roman" w:cstheme="minorHAnsi"/>
          <w:color w:val="000000"/>
        </w:rPr>
        <w:t>EC 211 (4) – Management in Agriculture (</w:t>
      </w:r>
      <w:r>
        <w:rPr>
          <w:rFonts w:eastAsia="Times New Roman" w:cstheme="minorHAnsi"/>
          <w:color w:val="000000"/>
        </w:rPr>
        <w:t>W</w:t>
      </w:r>
      <w:r w:rsidR="00E71BC1" w:rsidRPr="00B7243E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 (Has an A</w:t>
      </w:r>
      <w:r w:rsidR="00991D06" w:rsidRPr="00B7243E">
        <w:rPr>
          <w:rFonts w:eastAsia="Times New Roman" w:cstheme="minorHAnsi"/>
          <w:color w:val="000000"/>
        </w:rPr>
        <w:t>EC 250 pre-</w:t>
      </w:r>
      <w:proofErr w:type="spellStart"/>
      <w:r w:rsidR="00991D06" w:rsidRPr="00B7243E">
        <w:rPr>
          <w:rFonts w:eastAsia="Times New Roman" w:cstheme="minorHAnsi"/>
          <w:color w:val="000000"/>
        </w:rPr>
        <w:t>req</w:t>
      </w:r>
      <w:proofErr w:type="spellEnd"/>
      <w:r w:rsidR="00991D06" w:rsidRPr="00B7243E">
        <w:rPr>
          <w:rFonts w:eastAsia="Times New Roman" w:cstheme="minorHAnsi"/>
          <w:color w:val="000000"/>
        </w:rPr>
        <w:t>)</w:t>
      </w:r>
    </w:p>
    <w:p w14:paraId="6627B049" w14:textId="6C67281E" w:rsidR="00E71BC1" w:rsidRPr="00B7243E" w:rsidRDefault="00B7243E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E71BC1" w:rsidRPr="00B7243E">
        <w:rPr>
          <w:rFonts w:eastAsia="Times New Roman" w:cstheme="minorHAnsi"/>
          <w:color w:val="000000"/>
        </w:rPr>
        <w:t>EC 221 (</w:t>
      </w:r>
      <w:r>
        <w:rPr>
          <w:rFonts w:eastAsia="Times New Roman" w:cstheme="minorHAnsi"/>
          <w:color w:val="000000"/>
        </w:rPr>
        <w:t>3) – Marketing in Agriculture (</w:t>
      </w:r>
      <w:proofErr w:type="spellStart"/>
      <w:r>
        <w:rPr>
          <w:rFonts w:eastAsia="Times New Roman" w:cstheme="minorHAnsi"/>
          <w:color w:val="000000"/>
        </w:rPr>
        <w:t>Sp</w:t>
      </w:r>
      <w:proofErr w:type="spellEnd"/>
      <w:r w:rsidR="00E71BC1" w:rsidRPr="00B7243E">
        <w:rPr>
          <w:rFonts w:eastAsia="Times New Roman" w:cstheme="minorHAnsi"/>
          <w:color w:val="000000"/>
        </w:rPr>
        <w:t>)</w:t>
      </w:r>
    </w:p>
    <w:p w14:paraId="4FD3AA90" w14:textId="77777777" w:rsidR="00E71BC1" w:rsidRPr="00E71BC1" w:rsidRDefault="00E71BC1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 w:rsidRPr="00B7243E">
        <w:rPr>
          <w:rFonts w:eastAsia="Times New Roman" w:cstheme="minorHAnsi"/>
          <w:color w:val="000000"/>
        </w:rPr>
        <w:t>AED 313 (4) – Theory</w:t>
      </w:r>
      <w:r w:rsidRPr="00E71BC1">
        <w:rPr>
          <w:rFonts w:eastAsia="Times New Roman" w:cstheme="minorHAnsi"/>
          <w:color w:val="000000"/>
        </w:rPr>
        <w:t xml:space="preserve"> and Practice III:  Field Experience (all terms)</w:t>
      </w:r>
      <w:r w:rsidR="001A00F4">
        <w:rPr>
          <w:rFonts w:eastAsia="Times New Roman" w:cstheme="minorHAnsi"/>
          <w:color w:val="000000"/>
        </w:rPr>
        <w:t xml:space="preserve"> </w:t>
      </w:r>
      <w:r w:rsidR="001A00F4" w:rsidRPr="001A00F4">
        <w:rPr>
          <w:rFonts w:eastAsia="Times New Roman" w:cstheme="minorHAnsi"/>
          <w:b/>
          <w:color w:val="000000"/>
        </w:rPr>
        <w:t>Recommended Junior Year</w:t>
      </w:r>
    </w:p>
    <w:p w14:paraId="06433BEB" w14:textId="4C920A5B" w:rsidR="00E71BC1" w:rsidRPr="00E71BC1" w:rsidRDefault="00594DE8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ED</w:t>
      </w:r>
      <w:r w:rsidR="001A00F4">
        <w:rPr>
          <w:rFonts w:eastAsia="Times New Roman" w:cstheme="minorHAnsi"/>
          <w:color w:val="000000"/>
        </w:rPr>
        <w:t xml:space="preserve"> 253 (3) – L</w:t>
      </w:r>
      <w:r w:rsidR="00E71BC1" w:rsidRPr="00E71BC1">
        <w:rPr>
          <w:rFonts w:eastAsia="Times New Roman" w:cstheme="minorHAnsi"/>
          <w:color w:val="000000"/>
        </w:rPr>
        <w:t xml:space="preserve">earning Across the Lifespan </w:t>
      </w:r>
      <w:r w:rsidR="004825F3" w:rsidRPr="004825F3">
        <w:rPr>
          <w:rFonts w:eastAsia="Times New Roman" w:cstheme="minorHAnsi"/>
          <w:b/>
          <w:color w:val="000000"/>
        </w:rPr>
        <w:t>OR</w:t>
      </w:r>
      <w:r w:rsidR="004825F3" w:rsidRPr="00E71BC1">
        <w:rPr>
          <w:rFonts w:eastAsia="Times New Roman" w:cstheme="minorHAnsi"/>
          <w:color w:val="000000"/>
        </w:rPr>
        <w:t xml:space="preserve"> equivalent </w:t>
      </w:r>
      <w:proofErr w:type="gramStart"/>
      <w:r w:rsidR="004825F3" w:rsidRPr="00E71BC1">
        <w:rPr>
          <w:rFonts w:eastAsia="Times New Roman" w:cstheme="minorHAnsi"/>
          <w:color w:val="000000"/>
        </w:rPr>
        <w:t xml:space="preserve">course  </w:t>
      </w:r>
      <w:r w:rsidR="00E71BC1" w:rsidRPr="00E71BC1">
        <w:rPr>
          <w:rFonts w:eastAsia="Times New Roman" w:cstheme="minorHAnsi"/>
          <w:color w:val="000000"/>
        </w:rPr>
        <w:t>(</w:t>
      </w:r>
      <w:proofErr w:type="gramEnd"/>
      <w:r w:rsidR="00E71BC1" w:rsidRPr="00E71BC1">
        <w:rPr>
          <w:rFonts w:eastAsia="Times New Roman" w:cstheme="minorHAnsi"/>
          <w:color w:val="000000"/>
        </w:rPr>
        <w:t>all terms)</w:t>
      </w:r>
    </w:p>
    <w:p w14:paraId="5C5E6589" w14:textId="63475FC9" w:rsidR="00E71BC1" w:rsidRPr="00E71BC1" w:rsidRDefault="00594DE8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ED </w:t>
      </w:r>
      <w:r w:rsidR="001A00F4">
        <w:rPr>
          <w:rFonts w:eastAsia="Times New Roman" w:cstheme="minorHAnsi"/>
          <w:color w:val="000000"/>
        </w:rPr>
        <w:t>216 (3) – P</w:t>
      </w:r>
      <w:r w:rsidR="004825F3">
        <w:rPr>
          <w:rFonts w:eastAsia="Times New Roman" w:cstheme="minorHAnsi"/>
          <w:color w:val="000000"/>
        </w:rPr>
        <w:t xml:space="preserve">urpose, Structure, </w:t>
      </w:r>
      <w:r w:rsidR="00E71BC1" w:rsidRPr="00E71BC1">
        <w:rPr>
          <w:rFonts w:eastAsia="Times New Roman" w:cstheme="minorHAnsi"/>
          <w:color w:val="000000"/>
        </w:rPr>
        <w:t xml:space="preserve">Function of Education in a Democracy </w:t>
      </w:r>
      <w:r w:rsidR="004825F3" w:rsidRPr="004825F3">
        <w:rPr>
          <w:rFonts w:eastAsia="Times New Roman" w:cstheme="minorHAnsi"/>
          <w:b/>
          <w:color w:val="000000"/>
        </w:rPr>
        <w:t>OR</w:t>
      </w:r>
      <w:r w:rsidR="004825F3" w:rsidRPr="00E71BC1">
        <w:rPr>
          <w:rFonts w:eastAsia="Times New Roman" w:cstheme="minorHAnsi"/>
          <w:color w:val="000000"/>
        </w:rPr>
        <w:t xml:space="preserve"> equivalent </w:t>
      </w:r>
      <w:proofErr w:type="gramStart"/>
      <w:r w:rsidR="004825F3" w:rsidRPr="00E71BC1">
        <w:rPr>
          <w:rFonts w:eastAsia="Times New Roman" w:cstheme="minorHAnsi"/>
          <w:color w:val="000000"/>
        </w:rPr>
        <w:t xml:space="preserve">course  </w:t>
      </w:r>
      <w:r w:rsidR="00E71BC1" w:rsidRPr="00E71BC1">
        <w:rPr>
          <w:rFonts w:eastAsia="Times New Roman" w:cstheme="minorHAnsi"/>
          <w:color w:val="000000"/>
        </w:rPr>
        <w:t>(</w:t>
      </w:r>
      <w:proofErr w:type="gramEnd"/>
      <w:r w:rsidR="00E71BC1" w:rsidRPr="00E71BC1">
        <w:rPr>
          <w:rFonts w:eastAsia="Times New Roman" w:cstheme="minorHAnsi"/>
          <w:color w:val="000000"/>
        </w:rPr>
        <w:t>all terms)</w:t>
      </w:r>
    </w:p>
    <w:p w14:paraId="2C6A1755" w14:textId="3DA865EC" w:rsidR="00E71BC1" w:rsidRPr="00E71BC1" w:rsidRDefault="00594DE8" w:rsidP="001A00F4">
      <w:pPr>
        <w:numPr>
          <w:ilvl w:val="0"/>
          <w:numId w:val="25"/>
        </w:numPr>
        <w:shd w:val="clear" w:color="auto" w:fill="FFFFFF"/>
        <w:ind w:left="360" w:right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ED</w:t>
      </w:r>
      <w:r w:rsidR="004825F3">
        <w:rPr>
          <w:rFonts w:eastAsia="Times New Roman" w:cstheme="minorHAnsi"/>
          <w:color w:val="000000"/>
        </w:rPr>
        <w:t xml:space="preserve"> 219 (3) – </w:t>
      </w:r>
      <w:r w:rsidR="001A00F4">
        <w:rPr>
          <w:rFonts w:eastAsia="Times New Roman" w:cstheme="minorHAnsi"/>
          <w:color w:val="000000"/>
        </w:rPr>
        <w:t>M</w:t>
      </w:r>
      <w:r w:rsidR="00E71BC1" w:rsidRPr="00E71BC1">
        <w:rPr>
          <w:rFonts w:eastAsia="Times New Roman" w:cstheme="minorHAnsi"/>
          <w:color w:val="000000"/>
        </w:rPr>
        <w:t xml:space="preserve">ulticultural Issues in Education </w:t>
      </w:r>
      <w:r w:rsidR="004825F3" w:rsidRPr="004825F3">
        <w:rPr>
          <w:rFonts w:eastAsia="Times New Roman" w:cstheme="minorHAnsi"/>
          <w:b/>
          <w:color w:val="000000"/>
        </w:rPr>
        <w:t>OR</w:t>
      </w:r>
      <w:r w:rsidR="00A5476B">
        <w:rPr>
          <w:rFonts w:eastAsia="Times New Roman" w:cstheme="minorHAnsi"/>
          <w:color w:val="000000"/>
        </w:rPr>
        <w:t xml:space="preserve"> equivalent course </w:t>
      </w:r>
      <w:r w:rsidR="00A5476B" w:rsidRPr="00A5476B">
        <w:rPr>
          <w:rFonts w:eastAsia="Times New Roman" w:cstheme="minorHAnsi"/>
          <w:b/>
          <w:color w:val="000000"/>
        </w:rPr>
        <w:t>OR</w:t>
      </w:r>
      <w:r w:rsidR="00A5476B">
        <w:rPr>
          <w:rFonts w:eastAsia="Times New Roman" w:cstheme="minorHAnsi"/>
          <w:color w:val="000000"/>
        </w:rPr>
        <w:t xml:space="preserve"> pass the ORELA test </w:t>
      </w:r>
      <w:r w:rsidR="00E71BC1" w:rsidRPr="00E71BC1">
        <w:rPr>
          <w:rFonts w:eastAsia="Times New Roman" w:cstheme="minorHAnsi"/>
          <w:color w:val="000000"/>
        </w:rPr>
        <w:t>(all terms)</w:t>
      </w:r>
    </w:p>
    <w:p w14:paraId="7D0DD431" w14:textId="77777777" w:rsidR="006E14EC" w:rsidRDefault="00E71BC1" w:rsidP="006E14EC">
      <w:pPr>
        <w:rPr>
          <w:rFonts w:cstheme="minorHAnsi"/>
        </w:rPr>
      </w:pPr>
      <w:r w:rsidRPr="009A0670">
        <w:rPr>
          <w:rFonts w:cstheme="minorHAnsi"/>
          <w:b/>
        </w:rPr>
        <w:t>AND</w:t>
      </w:r>
      <w:r w:rsidRPr="00E71BC1">
        <w:rPr>
          <w:rFonts w:cstheme="minorHAnsi"/>
        </w:rPr>
        <w:t xml:space="preserve"> 10</w:t>
      </w:r>
      <w:r w:rsidR="001A00F4">
        <w:rPr>
          <w:rFonts w:cstheme="minorHAnsi"/>
        </w:rPr>
        <w:t>40</w:t>
      </w:r>
      <w:r w:rsidR="00912513" w:rsidRPr="00E71BC1">
        <w:rPr>
          <w:rFonts w:cstheme="minorHAnsi"/>
        </w:rPr>
        <w:t xml:space="preserve"> hours of </w:t>
      </w:r>
      <w:r w:rsidR="004E3685">
        <w:rPr>
          <w:rFonts w:cstheme="minorHAnsi"/>
        </w:rPr>
        <w:t xml:space="preserve">documented </w:t>
      </w:r>
      <w:r w:rsidR="00912513" w:rsidRPr="00E71BC1">
        <w:rPr>
          <w:rFonts w:cstheme="minorHAnsi"/>
        </w:rPr>
        <w:t>experience in Agriculture</w:t>
      </w:r>
    </w:p>
    <w:p w14:paraId="2C2A8A5D" w14:textId="77777777" w:rsidR="0028016A" w:rsidRDefault="00A5476B" w:rsidP="006E14EC">
      <w:pPr>
        <w:rPr>
          <w:rFonts w:cstheme="minorHAnsi"/>
        </w:rPr>
      </w:pPr>
      <w:r w:rsidRPr="00A5476B">
        <w:rPr>
          <w:rFonts w:cstheme="minorHAnsi"/>
          <w:b/>
        </w:rPr>
        <w:t>AND</w:t>
      </w:r>
      <w:r>
        <w:rPr>
          <w:rFonts w:cstheme="minorHAnsi"/>
        </w:rPr>
        <w:t xml:space="preserve"> </w:t>
      </w:r>
      <w:r w:rsidRPr="00A5476B">
        <w:rPr>
          <w:rFonts w:cstheme="minorHAnsi"/>
          <w:b/>
        </w:rPr>
        <w:t>NOTE</w:t>
      </w:r>
      <w:r>
        <w:rPr>
          <w:rFonts w:cstheme="minorHAnsi"/>
        </w:rPr>
        <w:t>: Any additional agriculture credits you have in your degree - above 180 credit -  at the 400 level can be used to qualify as a College Credit Now instructor.</w:t>
      </w:r>
    </w:p>
    <w:p w14:paraId="1952F003" w14:textId="77777777" w:rsidR="0028016A" w:rsidRDefault="0028016A" w:rsidP="006E14EC">
      <w:pPr>
        <w:rPr>
          <w:rFonts w:cstheme="minorHAnsi"/>
        </w:rPr>
      </w:pPr>
    </w:p>
    <w:p w14:paraId="0925356D" w14:textId="770AD1FF" w:rsidR="006E14EC" w:rsidRPr="0028016A" w:rsidRDefault="006E14EC" w:rsidP="0028016A">
      <w:pPr>
        <w:ind w:hanging="360"/>
        <w:rPr>
          <w:rFonts w:cstheme="minorHAnsi"/>
        </w:rPr>
      </w:pPr>
      <w:r w:rsidRPr="006E14EC">
        <w:rPr>
          <w:b/>
          <w:sz w:val="24"/>
          <w:szCs w:val="24"/>
        </w:rPr>
        <w:t>STEP 2: COMPLETE AND PASS REQUIRED TESTING</w:t>
      </w:r>
      <w:r w:rsidR="00874A72">
        <w:rPr>
          <w:b/>
          <w:sz w:val="24"/>
          <w:szCs w:val="24"/>
        </w:rPr>
        <w:br/>
      </w:r>
      <w:proofErr w:type="spellStart"/>
      <w:r w:rsidR="00874A72" w:rsidRPr="00874A72">
        <w:rPr>
          <w:sz w:val="24"/>
          <w:szCs w:val="24"/>
        </w:rPr>
        <w:t>Testing</w:t>
      </w:r>
      <w:proofErr w:type="spellEnd"/>
      <w:r w:rsidR="00874A72" w:rsidRPr="00874A72">
        <w:rPr>
          <w:sz w:val="24"/>
          <w:szCs w:val="24"/>
        </w:rPr>
        <w:t xml:space="preserve"> is a moving target. Students are responsible for checking that the accepted tests have not changed: </w:t>
      </w:r>
      <w:hyperlink r:id="rId7" w:history="1">
        <w:r w:rsidR="00874A72" w:rsidRPr="00FA1BBD">
          <w:rPr>
            <w:rStyle w:val="Hyperlink"/>
            <w:sz w:val="24"/>
            <w:szCs w:val="24"/>
          </w:rPr>
          <w:t>http://www.oregon.gov/tspc/Pages/Testing.aspx</w:t>
        </w:r>
      </w:hyperlink>
      <w:r w:rsidR="00874A7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80"/>
        <w:gridCol w:w="332"/>
        <w:gridCol w:w="3516"/>
        <w:gridCol w:w="4090"/>
      </w:tblGrid>
      <w:tr w:rsidR="004825F3" w:rsidRPr="00DA52D7" w14:paraId="25D5EFA3" w14:textId="77777777" w:rsidTr="004825F3">
        <w:tc>
          <w:tcPr>
            <w:tcW w:w="1980" w:type="dxa"/>
            <w:tcBorders>
              <w:bottom w:val="nil"/>
              <w:right w:val="nil"/>
            </w:tcBorders>
          </w:tcPr>
          <w:p w14:paraId="737F444D" w14:textId="77777777" w:rsidR="00DA52D7" w:rsidRPr="00DA52D7" w:rsidRDefault="00DA52D7" w:rsidP="00DA52D7">
            <w:pPr>
              <w:ind w:left="90"/>
            </w:pPr>
            <w:r w:rsidRPr="00DA52D7">
              <w:t>Admission requirement</w:t>
            </w:r>
          </w:p>
        </w:tc>
        <w:tc>
          <w:tcPr>
            <w:tcW w:w="3848" w:type="dxa"/>
            <w:gridSpan w:val="2"/>
            <w:tcBorders>
              <w:left w:val="nil"/>
              <w:bottom w:val="nil"/>
              <w:right w:val="nil"/>
            </w:tcBorders>
          </w:tcPr>
          <w:p w14:paraId="746C3688" w14:textId="77777777" w:rsidR="00DA52D7" w:rsidRPr="00DA52D7" w:rsidRDefault="00DA52D7" w:rsidP="00DA52D7">
            <w:pPr>
              <w:ind w:left="72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r w:rsidRPr="00DA52D7">
              <w:t xml:space="preserve">ORELA 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Protecting Student and Civil Rights in the Educational Environment </w:t>
            </w:r>
          </w:p>
        </w:tc>
        <w:tc>
          <w:tcPr>
            <w:tcW w:w="4090" w:type="dxa"/>
            <w:tcBorders>
              <w:left w:val="nil"/>
              <w:bottom w:val="nil"/>
            </w:tcBorders>
          </w:tcPr>
          <w:p w14:paraId="7D40464D" w14:textId="00200621" w:rsidR="005C2285" w:rsidRPr="00DA52D7" w:rsidRDefault="00CC0F11" w:rsidP="003350F2">
            <w:pPr>
              <w:ind w:left="72"/>
            </w:pPr>
            <w:r>
              <w:rPr>
                <w:rFonts w:cs="Arial"/>
                <w:bdr w:val="none" w:sz="0" w:space="0" w:color="auto" w:frame="1"/>
                <w:shd w:val="clear" w:color="auto" w:fill="FFFFFF"/>
              </w:rPr>
              <w:t>$95</w:t>
            </w:r>
            <w:r w:rsidR="00DA52D7"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.00 </w:t>
            </w:r>
            <w:r w:rsidR="00DA52D7" w:rsidRPr="00DA52D7">
              <w:rPr>
                <w:rFonts w:cs="Arial"/>
                <w:i/>
                <w:bdr w:val="none" w:sz="0" w:space="0" w:color="auto" w:frame="1"/>
                <w:shd w:val="clear" w:color="auto" w:fill="FFFFFF"/>
              </w:rPr>
              <w:t xml:space="preserve">(you are prepared for this test after </w:t>
            </w:r>
            <w:r w:rsidR="003350F2">
              <w:rPr>
                <w:rFonts w:cs="Arial"/>
                <w:i/>
                <w:bdr w:val="none" w:sz="0" w:space="0" w:color="auto" w:frame="1"/>
                <w:shd w:val="clear" w:color="auto" w:fill="FFFFFF"/>
              </w:rPr>
              <w:t>ED</w:t>
            </w:r>
            <w:r w:rsidR="00DA52D7" w:rsidRPr="00DA52D7">
              <w:rPr>
                <w:rFonts w:cs="Arial"/>
                <w:i/>
                <w:bdr w:val="none" w:sz="0" w:space="0" w:color="auto" w:frame="1"/>
                <w:shd w:val="clear" w:color="auto" w:fill="FFFFFF"/>
              </w:rPr>
              <w:t xml:space="preserve"> 219)</w:t>
            </w:r>
          </w:p>
        </w:tc>
      </w:tr>
      <w:tr w:rsidR="005C2285" w:rsidRPr="00DA52D7" w14:paraId="5C9FEF41" w14:textId="77777777" w:rsidTr="004825F3">
        <w:trPr>
          <w:trHeight w:val="351"/>
        </w:trPr>
        <w:tc>
          <w:tcPr>
            <w:tcW w:w="9918" w:type="dxa"/>
            <w:gridSpan w:val="4"/>
            <w:tcBorders>
              <w:top w:val="nil"/>
            </w:tcBorders>
          </w:tcPr>
          <w:p w14:paraId="1B56F6D7" w14:textId="77777777" w:rsidR="005C2285" w:rsidRDefault="005C2285" w:rsidP="00DA52D7">
            <w:pPr>
              <w:ind w:left="72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Link to register </w:t>
            </w:r>
            <w:hyperlink r:id="rId8" w:history="1">
              <w:r w:rsidRPr="00B8669E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http://www.orela.nesinc.com/TestView.aspx?f=HTML_FRAG/OR008_TestPage.html</w:t>
              </w:r>
            </w:hyperlink>
          </w:p>
          <w:p w14:paraId="7248598A" w14:textId="77777777" w:rsidR="005C2285" w:rsidRPr="00DA52D7" w:rsidRDefault="005C2285" w:rsidP="00DA52D7">
            <w:pPr>
              <w:ind w:left="72"/>
              <w:rPr>
                <w:rFonts w:cs="Arial"/>
                <w:bdr w:val="none" w:sz="0" w:space="0" w:color="auto" w:frame="1"/>
                <w:shd w:val="clear" w:color="auto" w:fill="FFFFFF"/>
              </w:rPr>
            </w:pPr>
          </w:p>
        </w:tc>
      </w:tr>
      <w:tr w:rsidR="004825F3" w:rsidRPr="00DA52D7" w14:paraId="259FE5CD" w14:textId="77777777" w:rsidTr="00F67E2C">
        <w:trPr>
          <w:trHeight w:val="1124"/>
        </w:trPr>
        <w:tc>
          <w:tcPr>
            <w:tcW w:w="2312" w:type="dxa"/>
            <w:gridSpan w:val="2"/>
            <w:tcBorders>
              <w:bottom w:val="nil"/>
              <w:right w:val="nil"/>
            </w:tcBorders>
          </w:tcPr>
          <w:p w14:paraId="5288B3B7" w14:textId="4431721C" w:rsidR="00DA52D7" w:rsidRPr="00DA52D7" w:rsidRDefault="00DA52D7" w:rsidP="00F67E2C">
            <w:pPr>
              <w:ind w:left="90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>Recomm</w:t>
            </w:r>
            <w:r w:rsidR="00F67E2C">
              <w:rPr>
                <w:rFonts w:cs="Arial"/>
                <w:bdr w:val="none" w:sz="0" w:space="0" w:color="auto" w:frame="1"/>
                <w:shd w:val="clear" w:color="auto" w:fill="FFFFFF"/>
              </w:rPr>
              <w:t>ended for admission, required before full time student teaching</w:t>
            </w: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14:paraId="427C814A" w14:textId="77777777" w:rsidR="00DA52D7" w:rsidRDefault="00DA52D7" w:rsidP="0036624C">
            <w:pPr>
              <w:ind w:left="72"/>
              <w:rPr>
                <w:rFonts w:cs="Arial"/>
                <w:b/>
                <w:bdr w:val="none" w:sz="0" w:space="0" w:color="auto" w:frame="1"/>
                <w:shd w:val="clear" w:color="auto" w:fill="FFFFFF"/>
              </w:rPr>
            </w:pP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PRAXIS II: Agriculture </w:t>
            </w:r>
            <w:r w:rsidR="0036624C">
              <w:rPr>
                <w:rFonts w:cs="Arial"/>
                <w:b/>
                <w:bdr w:val="none" w:sz="0" w:space="0" w:color="auto" w:frame="1"/>
                <w:shd w:val="clear" w:color="auto" w:fill="FFFFFF"/>
              </w:rPr>
              <w:t>5701</w:t>
            </w:r>
          </w:p>
          <w:p w14:paraId="61635F73" w14:textId="3D78BA17" w:rsidR="004825F3" w:rsidRPr="00DA52D7" w:rsidRDefault="004825F3" w:rsidP="0036624C">
            <w:pPr>
              <w:ind w:left="72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Link to test information: </w:t>
            </w:r>
            <w:hyperlink r:id="rId9" w:history="1">
              <w:r w:rsidRPr="00FA1956">
                <w:rPr>
                  <w:rStyle w:val="Hyperlink"/>
                  <w:rFonts w:cs="Arial"/>
                  <w:bdr w:val="none" w:sz="0" w:space="0" w:color="auto" w:frame="1"/>
                  <w:shd w:val="clear" w:color="auto" w:fill="FFFFFF"/>
                </w:rPr>
                <w:t>https://www.ets.org/praxis/register</w:t>
              </w:r>
            </w:hyperlink>
          </w:p>
        </w:tc>
        <w:tc>
          <w:tcPr>
            <w:tcW w:w="4090" w:type="dxa"/>
            <w:tcBorders>
              <w:left w:val="nil"/>
              <w:bottom w:val="nil"/>
            </w:tcBorders>
          </w:tcPr>
          <w:p w14:paraId="3C51B52A" w14:textId="5DDC06A9" w:rsidR="00DA52D7" w:rsidRPr="00DA52D7" w:rsidRDefault="00DA52D7" w:rsidP="003720AD">
            <w:pPr>
              <w:ind w:left="72"/>
              <w:rPr>
                <w:rFonts w:cs="Arial"/>
                <w:bdr w:val="none" w:sz="0" w:space="0" w:color="auto" w:frame="1"/>
                <w:shd w:val="clear" w:color="auto" w:fill="FFFFFF"/>
              </w:rPr>
            </w:pP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>(</w:t>
            </w:r>
            <w:r w:rsidR="003720AD">
              <w:rPr>
                <w:rFonts w:cs="Arial"/>
                <w:bdr w:val="none" w:sz="0" w:space="0" w:color="auto" w:frame="1"/>
                <w:shd w:val="clear" w:color="auto" w:fill="FFFFFF"/>
              </w:rPr>
              <w:t>Computerized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 test </w:t>
            </w:r>
            <w:r w:rsidR="003720AD">
              <w:rPr>
                <w:rFonts w:cs="Arial"/>
                <w:bdr w:val="none" w:sz="0" w:space="0" w:color="auto" w:frame="1"/>
                <w:shd w:val="clear" w:color="auto" w:fill="FFFFFF"/>
              </w:rPr>
              <w:t>–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="003720AD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BUT 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ONLY offered </w:t>
            </w:r>
            <w:r w:rsidR="0036624C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in 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4 </w:t>
            </w:r>
            <w:r w:rsidR="0036624C">
              <w:rPr>
                <w:rFonts w:cs="Arial"/>
                <w:bdr w:val="none" w:sz="0" w:space="0" w:color="auto" w:frame="1"/>
                <w:shd w:val="clear" w:color="auto" w:fill="FFFFFF"/>
              </w:rPr>
              <w:t>testing windows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: </w:t>
            </w:r>
            <w:r w:rsidR="0036624C">
              <w:rPr>
                <w:rFonts w:cs="Arial"/>
                <w:bdr w:val="none" w:sz="0" w:space="0" w:color="auto" w:frame="1"/>
                <w:shd w:val="clear" w:color="auto" w:fill="FFFFFF"/>
              </w:rPr>
              <w:t>December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, </w:t>
            </w:r>
            <w:r w:rsidR="0036624C">
              <w:rPr>
                <w:rFonts w:cs="Arial"/>
                <w:bdr w:val="none" w:sz="0" w:space="0" w:color="auto" w:frame="1"/>
                <w:shd w:val="clear" w:color="auto" w:fill="FFFFFF"/>
              </w:rPr>
              <w:t>March,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="0036624C">
              <w:rPr>
                <w:rFonts w:cs="Arial"/>
                <w:bdr w:val="none" w:sz="0" w:space="0" w:color="auto" w:frame="1"/>
                <w:shd w:val="clear" w:color="auto" w:fill="FFFFFF"/>
              </w:rPr>
              <w:t>June</w:t>
            </w:r>
            <w:r w:rsidRPr="00DA52D7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 and September) $115.00</w:t>
            </w:r>
          </w:p>
        </w:tc>
      </w:tr>
      <w:tr w:rsidR="005C2285" w:rsidRPr="00DA52D7" w14:paraId="5DCE03F0" w14:textId="77777777" w:rsidTr="00F67E2C">
        <w:trPr>
          <w:trHeight w:val="101"/>
        </w:trPr>
        <w:tc>
          <w:tcPr>
            <w:tcW w:w="9918" w:type="dxa"/>
            <w:gridSpan w:val="4"/>
            <w:tcBorders>
              <w:top w:val="nil"/>
            </w:tcBorders>
          </w:tcPr>
          <w:p w14:paraId="023F9F46" w14:textId="126B893C" w:rsidR="005C2285" w:rsidRPr="00DA52D7" w:rsidRDefault="005C2285" w:rsidP="00F67E2C">
            <w:pPr>
              <w:rPr>
                <w:rFonts w:cs="Arial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EA7A7E1" w14:textId="77777777" w:rsidR="00D50AD3" w:rsidRDefault="00D50AD3" w:rsidP="00D7536A">
      <w:pPr>
        <w:ind w:left="-450"/>
        <w:rPr>
          <w:b/>
          <w:sz w:val="24"/>
          <w:szCs w:val="24"/>
        </w:rPr>
      </w:pPr>
    </w:p>
    <w:p w14:paraId="3A8FF1A3" w14:textId="77777777" w:rsidR="00D7536A" w:rsidRDefault="006E14EC" w:rsidP="00D7536A">
      <w:pPr>
        <w:ind w:left="-450"/>
        <w:rPr>
          <w:b/>
          <w:sz w:val="24"/>
          <w:szCs w:val="24"/>
        </w:rPr>
      </w:pPr>
      <w:r w:rsidRPr="006E14EC">
        <w:rPr>
          <w:b/>
          <w:sz w:val="24"/>
          <w:szCs w:val="24"/>
        </w:rPr>
        <w:t>STEP 3: APPLY TO THE PROGRAM</w:t>
      </w:r>
    </w:p>
    <w:p w14:paraId="70390ADC" w14:textId="3FC5C52E" w:rsidR="004825F3" w:rsidRDefault="006E14EC" w:rsidP="00D7536A">
      <w:pPr>
        <w:ind w:left="-450"/>
        <w:rPr>
          <w:sz w:val="24"/>
          <w:szCs w:val="24"/>
        </w:rPr>
      </w:pPr>
      <w:r w:rsidRPr="006E14EC">
        <w:rPr>
          <w:sz w:val="24"/>
          <w:szCs w:val="24"/>
        </w:rPr>
        <w:t xml:space="preserve">February of the year you intend to begin the </w:t>
      </w:r>
      <w:proofErr w:type="spellStart"/>
      <w:r w:rsidRPr="006E14EC">
        <w:rPr>
          <w:sz w:val="24"/>
          <w:szCs w:val="24"/>
        </w:rPr>
        <w:t>Masters</w:t>
      </w:r>
      <w:proofErr w:type="spellEnd"/>
      <w:r w:rsidRPr="006E14EC">
        <w:rPr>
          <w:sz w:val="24"/>
          <w:szCs w:val="24"/>
        </w:rPr>
        <w:t xml:space="preserve"> program, you will apply to the program.</w:t>
      </w:r>
      <w:r>
        <w:rPr>
          <w:sz w:val="24"/>
          <w:szCs w:val="24"/>
        </w:rPr>
        <w:t xml:space="preserve"> </w:t>
      </w:r>
      <w:r w:rsidRPr="006E14EC">
        <w:rPr>
          <w:sz w:val="24"/>
          <w:szCs w:val="24"/>
        </w:rPr>
        <w:t xml:space="preserve">Application can be found on the Department website or </w:t>
      </w:r>
      <w:r w:rsidR="007526FE">
        <w:rPr>
          <w:sz w:val="24"/>
          <w:szCs w:val="24"/>
        </w:rPr>
        <w:t xml:space="preserve">is </w:t>
      </w:r>
      <w:r w:rsidRPr="006E14EC">
        <w:rPr>
          <w:sz w:val="24"/>
          <w:szCs w:val="24"/>
        </w:rPr>
        <w:t>available in the office and upon request.</w:t>
      </w:r>
      <w:r w:rsidR="00912513">
        <w:rPr>
          <w:sz w:val="24"/>
          <w:szCs w:val="24"/>
        </w:rPr>
        <w:t xml:space="preserve"> </w:t>
      </w:r>
    </w:p>
    <w:p w14:paraId="0274D1A5" w14:textId="77777777" w:rsidR="00120E7A" w:rsidRDefault="00120E7A" w:rsidP="00D7536A">
      <w:pPr>
        <w:ind w:left="-450"/>
        <w:rPr>
          <w:sz w:val="24"/>
          <w:szCs w:val="24"/>
        </w:rPr>
      </w:pPr>
    </w:p>
    <w:p w14:paraId="3BA2C573" w14:textId="69AA4162" w:rsidR="006E14EC" w:rsidRPr="006E14EC" w:rsidRDefault="006E14EC" w:rsidP="00C22E62">
      <w:pPr>
        <w:ind w:left="-450"/>
        <w:rPr>
          <w:sz w:val="24"/>
          <w:szCs w:val="24"/>
        </w:rPr>
      </w:pPr>
      <w:r w:rsidRPr="006E14EC">
        <w:rPr>
          <w:b/>
          <w:sz w:val="24"/>
          <w:szCs w:val="24"/>
        </w:rPr>
        <w:t>STEP 4: ACCEPTANCE</w:t>
      </w:r>
      <w:bookmarkStart w:id="0" w:name="_GoBack"/>
      <w:bookmarkEnd w:id="0"/>
      <w:r w:rsidRPr="006E14EC">
        <w:rPr>
          <w:sz w:val="24"/>
          <w:szCs w:val="24"/>
        </w:rPr>
        <w:br/>
      </w:r>
      <w:r>
        <w:rPr>
          <w:sz w:val="24"/>
          <w:szCs w:val="24"/>
        </w:rPr>
        <w:t xml:space="preserve">In </w:t>
      </w:r>
      <w:r w:rsidRPr="006E14EC">
        <w:rPr>
          <w:sz w:val="24"/>
          <w:szCs w:val="24"/>
        </w:rPr>
        <w:t>March-April you will be interviewed and, if accepted, admitted to the program and placed for student teaching.</w:t>
      </w:r>
      <w:r w:rsidR="00912513">
        <w:rPr>
          <w:sz w:val="24"/>
          <w:szCs w:val="24"/>
        </w:rPr>
        <w:t xml:space="preserve"> You will also need to be accepted for admission to Graduate School at OSU.</w:t>
      </w:r>
    </w:p>
    <w:sectPr w:rsidR="006E14EC" w:rsidRPr="006E14EC" w:rsidSect="00D50AD3">
      <w:footerReference w:type="default" r:id="rId10"/>
      <w:pgSz w:w="12240" w:h="15840"/>
      <w:pgMar w:top="810" w:right="108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3E03" w14:textId="77777777" w:rsidR="00407D0F" w:rsidRDefault="00407D0F" w:rsidP="00D15732">
      <w:r>
        <w:separator/>
      </w:r>
    </w:p>
  </w:endnote>
  <w:endnote w:type="continuationSeparator" w:id="0">
    <w:p w14:paraId="138F9150" w14:textId="77777777" w:rsidR="00407D0F" w:rsidRDefault="00407D0F" w:rsidP="00D1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6E73" w14:textId="4C6DC192" w:rsidR="00566DED" w:rsidRDefault="00566DED">
    <w:pPr>
      <w:pStyle w:val="Footer"/>
    </w:pPr>
    <w:r>
      <w:t xml:space="preserve">Last updated: </w:t>
    </w:r>
    <w:r>
      <w:fldChar w:fldCharType="begin"/>
    </w:r>
    <w:r>
      <w:instrText xml:space="preserve"> TIME \@ "M/d/yy h:mm am/pm" </w:instrText>
    </w:r>
    <w:r>
      <w:fldChar w:fldCharType="separate"/>
    </w:r>
    <w:r w:rsidR="00F67E2C">
      <w:rPr>
        <w:noProof/>
      </w:rPr>
      <w:t>10/18/16 2:01 PM</w:t>
    </w:r>
    <w:r>
      <w:fldChar w:fldCharType="end"/>
    </w:r>
    <w:r>
      <w:t xml:space="preserve"> </w:t>
    </w:r>
    <w:r>
      <w:tab/>
      <w:t xml:space="preserve">All information is subject to change without notice and should be verified with the Ag Ed Department for the latest requirements for your admission year.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3B4C" w14:textId="77777777" w:rsidR="00407D0F" w:rsidRDefault="00407D0F" w:rsidP="00D15732">
      <w:r>
        <w:separator/>
      </w:r>
    </w:p>
  </w:footnote>
  <w:footnote w:type="continuationSeparator" w:id="0">
    <w:p w14:paraId="6E26AA8E" w14:textId="77777777" w:rsidR="00407D0F" w:rsidRDefault="00407D0F" w:rsidP="00D1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9E"/>
    <w:multiLevelType w:val="multilevel"/>
    <w:tmpl w:val="EAA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4AE1"/>
    <w:multiLevelType w:val="multilevel"/>
    <w:tmpl w:val="CCE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7A640E"/>
    <w:multiLevelType w:val="multilevel"/>
    <w:tmpl w:val="5C5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8368A"/>
    <w:multiLevelType w:val="multilevel"/>
    <w:tmpl w:val="F35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D76B4"/>
    <w:multiLevelType w:val="multilevel"/>
    <w:tmpl w:val="498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C1409"/>
    <w:multiLevelType w:val="multilevel"/>
    <w:tmpl w:val="A55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65060"/>
    <w:multiLevelType w:val="multilevel"/>
    <w:tmpl w:val="762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50345"/>
    <w:multiLevelType w:val="multilevel"/>
    <w:tmpl w:val="5E0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31B5F"/>
    <w:multiLevelType w:val="multilevel"/>
    <w:tmpl w:val="A1E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50C0F"/>
    <w:multiLevelType w:val="multilevel"/>
    <w:tmpl w:val="AFB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71EFB"/>
    <w:multiLevelType w:val="multilevel"/>
    <w:tmpl w:val="777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754CD"/>
    <w:multiLevelType w:val="multilevel"/>
    <w:tmpl w:val="FD82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45F1B"/>
    <w:multiLevelType w:val="multilevel"/>
    <w:tmpl w:val="B462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E40A6"/>
    <w:multiLevelType w:val="multilevel"/>
    <w:tmpl w:val="E16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B36A7"/>
    <w:multiLevelType w:val="multilevel"/>
    <w:tmpl w:val="FA8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37420"/>
    <w:multiLevelType w:val="hybridMultilevel"/>
    <w:tmpl w:val="8D764A12"/>
    <w:lvl w:ilvl="0" w:tplc="DAD6E1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A1BFD"/>
    <w:multiLevelType w:val="multilevel"/>
    <w:tmpl w:val="FFF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221D2"/>
    <w:multiLevelType w:val="multilevel"/>
    <w:tmpl w:val="526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B51CD"/>
    <w:multiLevelType w:val="multilevel"/>
    <w:tmpl w:val="EF1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A7E59"/>
    <w:multiLevelType w:val="multilevel"/>
    <w:tmpl w:val="C4C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46E79"/>
    <w:multiLevelType w:val="hybridMultilevel"/>
    <w:tmpl w:val="B5A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414B"/>
    <w:multiLevelType w:val="hybridMultilevel"/>
    <w:tmpl w:val="1FF8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F2EC7"/>
    <w:multiLevelType w:val="multilevel"/>
    <w:tmpl w:val="731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47660"/>
    <w:multiLevelType w:val="multilevel"/>
    <w:tmpl w:val="3DF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75392"/>
    <w:multiLevelType w:val="hybridMultilevel"/>
    <w:tmpl w:val="8FBA486C"/>
    <w:lvl w:ilvl="0" w:tplc="281899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6720C"/>
    <w:multiLevelType w:val="multilevel"/>
    <w:tmpl w:val="0A5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16"/>
  </w:num>
  <w:num w:numId="10">
    <w:abstractNumId w:val="17"/>
  </w:num>
  <w:num w:numId="11">
    <w:abstractNumId w:val="19"/>
  </w:num>
  <w:num w:numId="12">
    <w:abstractNumId w:val="21"/>
  </w:num>
  <w:num w:numId="13">
    <w:abstractNumId w:val="20"/>
  </w:num>
  <w:num w:numId="14">
    <w:abstractNumId w:val="8"/>
  </w:num>
  <w:num w:numId="15">
    <w:abstractNumId w:val="9"/>
  </w:num>
  <w:num w:numId="16">
    <w:abstractNumId w:val="6"/>
  </w:num>
  <w:num w:numId="17">
    <w:abstractNumId w:val="22"/>
  </w:num>
  <w:num w:numId="18">
    <w:abstractNumId w:val="10"/>
  </w:num>
  <w:num w:numId="19">
    <w:abstractNumId w:val="23"/>
  </w:num>
  <w:num w:numId="20">
    <w:abstractNumId w:val="2"/>
  </w:num>
  <w:num w:numId="21">
    <w:abstractNumId w:val="11"/>
  </w:num>
  <w:num w:numId="22">
    <w:abstractNumId w:val="13"/>
  </w:num>
  <w:num w:numId="23">
    <w:abstractNumId w:val="7"/>
  </w:num>
  <w:num w:numId="24">
    <w:abstractNumId w:val="18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EC"/>
    <w:rsid w:val="00005EE1"/>
    <w:rsid w:val="000159BB"/>
    <w:rsid w:val="000B62C6"/>
    <w:rsid w:val="000F7BF7"/>
    <w:rsid w:val="00120E7A"/>
    <w:rsid w:val="001A00F4"/>
    <w:rsid w:val="0028016A"/>
    <w:rsid w:val="003350F2"/>
    <w:rsid w:val="0036624C"/>
    <w:rsid w:val="003720AD"/>
    <w:rsid w:val="00386BA7"/>
    <w:rsid w:val="00395C32"/>
    <w:rsid w:val="00407D0F"/>
    <w:rsid w:val="00410191"/>
    <w:rsid w:val="004104FE"/>
    <w:rsid w:val="004258CB"/>
    <w:rsid w:val="004365AA"/>
    <w:rsid w:val="00480F5F"/>
    <w:rsid w:val="004825F3"/>
    <w:rsid w:val="004E3685"/>
    <w:rsid w:val="00566DED"/>
    <w:rsid w:val="00594DE8"/>
    <w:rsid w:val="005C2285"/>
    <w:rsid w:val="006E14EC"/>
    <w:rsid w:val="007526FE"/>
    <w:rsid w:val="007C67AA"/>
    <w:rsid w:val="00874A72"/>
    <w:rsid w:val="008C16DA"/>
    <w:rsid w:val="00907908"/>
    <w:rsid w:val="00912513"/>
    <w:rsid w:val="00916E9D"/>
    <w:rsid w:val="00927853"/>
    <w:rsid w:val="00991D06"/>
    <w:rsid w:val="009A0670"/>
    <w:rsid w:val="009A10C6"/>
    <w:rsid w:val="009F0077"/>
    <w:rsid w:val="00A5476B"/>
    <w:rsid w:val="00A73243"/>
    <w:rsid w:val="00B7243E"/>
    <w:rsid w:val="00BB1A90"/>
    <w:rsid w:val="00C22E62"/>
    <w:rsid w:val="00C62F97"/>
    <w:rsid w:val="00C64B59"/>
    <w:rsid w:val="00CC0F11"/>
    <w:rsid w:val="00D15732"/>
    <w:rsid w:val="00D50AD3"/>
    <w:rsid w:val="00D55E4C"/>
    <w:rsid w:val="00D7536A"/>
    <w:rsid w:val="00DA52D7"/>
    <w:rsid w:val="00E71BC1"/>
    <w:rsid w:val="00E74EEB"/>
    <w:rsid w:val="00EB39B5"/>
    <w:rsid w:val="00F23AEE"/>
    <w:rsid w:val="00F611AF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E6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EC"/>
    <w:pPr>
      <w:ind w:left="720"/>
      <w:contextualSpacing/>
    </w:pPr>
  </w:style>
  <w:style w:type="table" w:styleId="TableGrid">
    <w:name w:val="Table Grid"/>
    <w:basedOn w:val="TableNormal"/>
    <w:uiPriority w:val="59"/>
    <w:rsid w:val="00E71BC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32"/>
  </w:style>
  <w:style w:type="paragraph" w:styleId="Footer">
    <w:name w:val="footer"/>
    <w:basedOn w:val="Normal"/>
    <w:link w:val="FooterChar"/>
    <w:uiPriority w:val="99"/>
    <w:unhideWhenUsed/>
    <w:rsid w:val="00D1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32"/>
  </w:style>
  <w:style w:type="paragraph" w:styleId="BalloonText">
    <w:name w:val="Balloon Text"/>
    <w:basedOn w:val="Normal"/>
    <w:link w:val="BalloonTextChar"/>
    <w:uiPriority w:val="99"/>
    <w:semiHidden/>
    <w:unhideWhenUsed/>
    <w:rsid w:val="00D1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regon.gov/tspc/Pages/Testing.aspx" TargetMode="External"/><Relationship Id="rId8" Type="http://schemas.openxmlformats.org/officeDocument/2006/relationships/hyperlink" Target="http://www.orela.nesinc.com/TestView.aspx?f=HTML_FRAG/OR008_TestPage.html" TargetMode="External"/><Relationship Id="rId9" Type="http://schemas.openxmlformats.org/officeDocument/2006/relationships/hyperlink" Target="https://www.ets.org/praxis/registe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Lambert</dc:creator>
  <cp:lastModifiedBy>Microsoft Office User</cp:lastModifiedBy>
  <cp:revision>12</cp:revision>
  <cp:lastPrinted>2016-10-05T21:34:00Z</cp:lastPrinted>
  <dcterms:created xsi:type="dcterms:W3CDTF">2015-10-30T15:27:00Z</dcterms:created>
  <dcterms:modified xsi:type="dcterms:W3CDTF">2016-10-18T21:01:00Z</dcterms:modified>
</cp:coreProperties>
</file>