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0A2" w:rsidRPr="00556784" w:rsidRDefault="00A330A2" w:rsidP="00556784">
      <w:pPr>
        <w:jc w:val="center"/>
        <w:rPr>
          <w:b/>
          <w:sz w:val="36"/>
        </w:rPr>
      </w:pPr>
      <w:r w:rsidRPr="00556784">
        <w:rPr>
          <w:b/>
          <w:sz w:val="36"/>
        </w:rPr>
        <w:t>Quick Guide to Anthracnose Control in the Pacific Northwest</w:t>
      </w:r>
    </w:p>
    <w:p w:rsidR="00A330A2" w:rsidRDefault="00A330A2" w:rsidP="00B01CB0">
      <w:pPr>
        <w:jc w:val="center"/>
        <w:rPr>
          <w:sz w:val="36"/>
        </w:rPr>
      </w:pPr>
      <w:r w:rsidRPr="003D192C">
        <w:rPr>
          <w:sz w:val="36"/>
        </w:rPr>
        <w:t>Oregon State University</w:t>
      </w:r>
    </w:p>
    <w:p w:rsidR="004502E7" w:rsidRPr="005F50BC" w:rsidRDefault="004502E7" w:rsidP="00B01CB0">
      <w:pPr>
        <w:jc w:val="center"/>
        <w:rPr>
          <w:sz w:val="18"/>
        </w:rPr>
      </w:pPr>
      <w:r w:rsidRPr="005F50BC">
        <w:rPr>
          <w:sz w:val="18"/>
        </w:rPr>
        <w:t>(Last updated Feb 26</w:t>
      </w:r>
      <w:r w:rsidRPr="005F50BC">
        <w:rPr>
          <w:sz w:val="18"/>
          <w:vertAlign w:val="superscript"/>
        </w:rPr>
        <w:t>th</w:t>
      </w:r>
      <w:r w:rsidRPr="005F50BC">
        <w:rPr>
          <w:sz w:val="18"/>
        </w:rPr>
        <w:t>, 2019</w:t>
      </w:r>
      <w:r w:rsidR="005F50BC" w:rsidRPr="005F50BC">
        <w:rPr>
          <w:sz w:val="18"/>
        </w:rPr>
        <w:t>)</w:t>
      </w:r>
    </w:p>
    <w:p w:rsidR="00556784" w:rsidRPr="003D192C" w:rsidRDefault="00C36CCE" w:rsidP="003D192C">
      <w:pPr>
        <w:spacing w:after="0"/>
        <w:jc w:val="center"/>
        <w:rPr>
          <w:sz w:val="28"/>
        </w:rPr>
      </w:pPr>
      <w:r>
        <w:rPr>
          <w:sz w:val="28"/>
        </w:rPr>
        <w:t>Alec Kowalewski</w:t>
      </w:r>
      <w:r w:rsidR="00556784" w:rsidRPr="003D192C">
        <w:rPr>
          <w:sz w:val="28"/>
        </w:rPr>
        <w:t>, Assistant Professor</w:t>
      </w:r>
    </w:p>
    <w:p w:rsidR="00556784" w:rsidRPr="003D192C" w:rsidRDefault="00556784" w:rsidP="003D192C">
      <w:pPr>
        <w:spacing w:after="0"/>
        <w:jc w:val="center"/>
        <w:rPr>
          <w:sz w:val="28"/>
        </w:rPr>
      </w:pPr>
      <w:r w:rsidRPr="003D192C">
        <w:rPr>
          <w:sz w:val="28"/>
        </w:rPr>
        <w:t>Brian McDonald, Research Assistant</w:t>
      </w:r>
    </w:p>
    <w:p w:rsidR="003D192C" w:rsidRPr="00556784" w:rsidRDefault="003D192C" w:rsidP="003D192C">
      <w:pPr>
        <w:spacing w:after="0"/>
        <w:jc w:val="center"/>
        <w:rPr>
          <w:sz w:val="32"/>
        </w:rPr>
      </w:pPr>
    </w:p>
    <w:p w:rsidR="00A330A2" w:rsidRPr="00A330A2" w:rsidRDefault="00A330A2">
      <w:pPr>
        <w:rPr>
          <w:b/>
          <w:sz w:val="28"/>
        </w:rPr>
      </w:pPr>
      <w:r w:rsidRPr="00A330A2">
        <w:rPr>
          <w:b/>
          <w:sz w:val="28"/>
        </w:rPr>
        <w:t>Cultural Practices</w:t>
      </w:r>
      <w:r w:rsidR="00332CBF">
        <w:rPr>
          <w:b/>
          <w:sz w:val="28"/>
        </w:rPr>
        <w:t>:</w:t>
      </w:r>
    </w:p>
    <w:p w:rsidR="00D82693" w:rsidRPr="0028653A" w:rsidRDefault="00D82693" w:rsidP="00D82693">
      <w:pPr>
        <w:pStyle w:val="ListParagraph"/>
        <w:numPr>
          <w:ilvl w:val="0"/>
          <w:numId w:val="1"/>
        </w:numPr>
        <w:rPr>
          <w:sz w:val="28"/>
        </w:rPr>
      </w:pPr>
      <w:r w:rsidRPr="0028653A">
        <w:rPr>
          <w:sz w:val="28"/>
        </w:rPr>
        <w:t xml:space="preserve">Apply </w:t>
      </w:r>
      <w:r w:rsidR="00F0722D">
        <w:rPr>
          <w:sz w:val="28"/>
        </w:rPr>
        <w:t xml:space="preserve">soluble </w:t>
      </w:r>
      <w:r w:rsidR="007B5195">
        <w:rPr>
          <w:sz w:val="28"/>
        </w:rPr>
        <w:t>nitrogen</w:t>
      </w:r>
      <w:r w:rsidRPr="0028653A">
        <w:rPr>
          <w:sz w:val="28"/>
        </w:rPr>
        <w:t xml:space="preserve"> at </w:t>
      </w:r>
      <w:r w:rsidR="00AC790F">
        <w:rPr>
          <w:sz w:val="28"/>
        </w:rPr>
        <w:t>0.10</w:t>
      </w:r>
      <w:r w:rsidRPr="0028653A">
        <w:rPr>
          <w:sz w:val="28"/>
        </w:rPr>
        <w:t xml:space="preserve"> - </w:t>
      </w:r>
      <w:r w:rsidR="00AC790F">
        <w:rPr>
          <w:sz w:val="28"/>
        </w:rPr>
        <w:t>0.25</w:t>
      </w:r>
      <w:r w:rsidRPr="0028653A">
        <w:rPr>
          <w:sz w:val="28"/>
        </w:rPr>
        <w:t xml:space="preserve"> lbs</w:t>
      </w:r>
      <w:r w:rsidR="007B5195">
        <w:rPr>
          <w:sz w:val="28"/>
        </w:rPr>
        <w:t>.</w:t>
      </w:r>
      <w:r w:rsidRPr="0028653A">
        <w:rPr>
          <w:sz w:val="28"/>
        </w:rPr>
        <w:t xml:space="preserve"> per 1,000 sq. ft. every 2 weeks</w:t>
      </w:r>
      <w:r w:rsidR="008A231F">
        <w:rPr>
          <w:sz w:val="28"/>
        </w:rPr>
        <w:t xml:space="preserve"> along with potassium at a 2:1 ratio of nitrogen to potassium.</w:t>
      </w:r>
      <w:r w:rsidR="00C36CCE">
        <w:rPr>
          <w:sz w:val="28"/>
        </w:rPr>
        <w:t xml:space="preserve"> </w:t>
      </w:r>
    </w:p>
    <w:p w:rsidR="009C110B" w:rsidRDefault="00D82693" w:rsidP="00D82693">
      <w:pPr>
        <w:pStyle w:val="ListParagraph"/>
        <w:numPr>
          <w:ilvl w:val="0"/>
          <w:numId w:val="1"/>
        </w:numPr>
        <w:rPr>
          <w:sz w:val="28"/>
        </w:rPr>
      </w:pPr>
      <w:r w:rsidRPr="0028653A">
        <w:rPr>
          <w:sz w:val="28"/>
        </w:rPr>
        <w:t>Keep mowing heights as high as possible to achieve your desired putting green speeds.  Use rolling</w:t>
      </w:r>
      <w:r w:rsidR="00A330A2">
        <w:rPr>
          <w:sz w:val="28"/>
        </w:rPr>
        <w:t>, Primo</w:t>
      </w:r>
      <w:r w:rsidR="00F643C8">
        <w:rPr>
          <w:sz w:val="28"/>
        </w:rPr>
        <w:t xml:space="preserve"> Maxx</w:t>
      </w:r>
      <w:r w:rsidR="00DE04AE">
        <w:rPr>
          <w:sz w:val="28"/>
        </w:rPr>
        <w:t>,</w:t>
      </w:r>
      <w:r w:rsidR="00A330A2">
        <w:rPr>
          <w:sz w:val="28"/>
        </w:rPr>
        <w:t xml:space="preserve"> and verticutting</w:t>
      </w:r>
      <w:r w:rsidRPr="0028653A">
        <w:rPr>
          <w:sz w:val="28"/>
        </w:rPr>
        <w:t xml:space="preserve"> to attain your desired speeds.</w:t>
      </w:r>
    </w:p>
    <w:p w:rsidR="009C110B" w:rsidRPr="0028653A" w:rsidRDefault="009C110B" w:rsidP="009C110B">
      <w:pPr>
        <w:pStyle w:val="ListParagraph"/>
        <w:numPr>
          <w:ilvl w:val="0"/>
          <w:numId w:val="1"/>
        </w:numPr>
        <w:rPr>
          <w:sz w:val="28"/>
        </w:rPr>
      </w:pPr>
      <w:r w:rsidRPr="0028653A">
        <w:rPr>
          <w:sz w:val="28"/>
        </w:rPr>
        <w:t xml:space="preserve">Apply consistent amounts (neither </w:t>
      </w:r>
      <w:r w:rsidR="00556784">
        <w:rPr>
          <w:sz w:val="28"/>
        </w:rPr>
        <w:t xml:space="preserve">too </w:t>
      </w:r>
      <w:r w:rsidRPr="0028653A">
        <w:rPr>
          <w:sz w:val="28"/>
        </w:rPr>
        <w:t xml:space="preserve">wet </w:t>
      </w:r>
      <w:r w:rsidR="00556784">
        <w:rPr>
          <w:sz w:val="28"/>
        </w:rPr>
        <w:t>n</w:t>
      </w:r>
      <w:r w:rsidRPr="0028653A">
        <w:rPr>
          <w:sz w:val="28"/>
        </w:rPr>
        <w:t xml:space="preserve">or </w:t>
      </w:r>
      <w:r w:rsidR="00556784">
        <w:rPr>
          <w:sz w:val="28"/>
        </w:rPr>
        <w:t xml:space="preserve">too </w:t>
      </w:r>
      <w:r w:rsidRPr="0028653A">
        <w:rPr>
          <w:sz w:val="28"/>
        </w:rPr>
        <w:t xml:space="preserve">dry) of irrigation.  Make monthly applications of wetting agents beginning in April or May before your greens dry out.  </w:t>
      </w:r>
      <w:r w:rsidR="00F643C8">
        <w:rPr>
          <w:sz w:val="28"/>
        </w:rPr>
        <w:t xml:space="preserve">More frequent applications </w:t>
      </w:r>
      <w:r w:rsidR="00B1043A">
        <w:rPr>
          <w:sz w:val="28"/>
        </w:rPr>
        <w:t xml:space="preserve">during the summer </w:t>
      </w:r>
      <w:r w:rsidR="00F643C8">
        <w:rPr>
          <w:sz w:val="28"/>
        </w:rPr>
        <w:t xml:space="preserve">may reduce disease significantly.  </w:t>
      </w:r>
      <w:r w:rsidRPr="0028653A">
        <w:rPr>
          <w:sz w:val="28"/>
        </w:rPr>
        <w:t>Avoid wet and dry cycles, if possible.</w:t>
      </w:r>
    </w:p>
    <w:p w:rsidR="00DD75C3" w:rsidRDefault="00556784" w:rsidP="00D826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Apply</w:t>
      </w:r>
      <w:r w:rsidR="0076390F">
        <w:rPr>
          <w:sz w:val="28"/>
        </w:rPr>
        <w:t xml:space="preserve"> a light</w:t>
      </w:r>
      <w:r>
        <w:rPr>
          <w:sz w:val="28"/>
        </w:rPr>
        <w:t xml:space="preserve"> sand </w:t>
      </w:r>
      <w:r w:rsidR="009C110B" w:rsidRPr="0028653A">
        <w:rPr>
          <w:sz w:val="28"/>
        </w:rPr>
        <w:t>Topdress</w:t>
      </w:r>
      <w:r>
        <w:rPr>
          <w:sz w:val="28"/>
        </w:rPr>
        <w:t>ing</w:t>
      </w:r>
      <w:r w:rsidR="0076390F">
        <w:rPr>
          <w:sz w:val="28"/>
        </w:rPr>
        <w:t xml:space="preserve"> </w:t>
      </w:r>
      <w:r w:rsidR="009C110B" w:rsidRPr="0028653A">
        <w:rPr>
          <w:sz w:val="28"/>
        </w:rPr>
        <w:t>every two weeks.</w:t>
      </w:r>
      <w:r w:rsidR="00D82693" w:rsidRPr="0028653A">
        <w:rPr>
          <w:sz w:val="28"/>
        </w:rPr>
        <w:t xml:space="preserve"> </w:t>
      </w:r>
    </w:p>
    <w:p w:rsidR="00D82693" w:rsidRPr="0028653A" w:rsidRDefault="00DD75C3" w:rsidP="00D8269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Mow less: r</w:t>
      </w:r>
      <w:r w:rsidR="00D82693" w:rsidRPr="0028653A">
        <w:rPr>
          <w:sz w:val="28"/>
        </w:rPr>
        <w:t>esearch at Oregon State University has shown that Mowing Monday, Wednesday, Friday, and Saturday along with daily rolling achieves the same putting speeds as mowing and rolling every day.</w:t>
      </w:r>
    </w:p>
    <w:p w:rsidR="00D82693" w:rsidRPr="0028653A" w:rsidRDefault="00D82693" w:rsidP="005F06C7">
      <w:pPr>
        <w:pStyle w:val="ListParagraph"/>
        <w:numPr>
          <w:ilvl w:val="0"/>
          <w:numId w:val="1"/>
        </w:numPr>
        <w:rPr>
          <w:sz w:val="28"/>
        </w:rPr>
      </w:pPr>
      <w:r w:rsidRPr="0028653A">
        <w:rPr>
          <w:sz w:val="28"/>
        </w:rPr>
        <w:t>Core in the spring and fall.</w:t>
      </w:r>
      <w:r w:rsidR="00CF2B4B">
        <w:rPr>
          <w:sz w:val="28"/>
        </w:rPr>
        <w:t xml:space="preserve">  </w:t>
      </w:r>
      <w:r w:rsidR="003B4E85">
        <w:rPr>
          <w:sz w:val="28"/>
        </w:rPr>
        <w:t>If desired, u</w:t>
      </w:r>
      <w:r w:rsidR="00CF2B4B">
        <w:rPr>
          <w:sz w:val="28"/>
        </w:rPr>
        <w:t xml:space="preserve">se smaller tines </w:t>
      </w:r>
      <w:r w:rsidR="00A330A2">
        <w:rPr>
          <w:sz w:val="28"/>
        </w:rPr>
        <w:t xml:space="preserve">(1/2”) </w:t>
      </w:r>
      <w:r w:rsidR="00CF2B4B">
        <w:rPr>
          <w:sz w:val="28"/>
        </w:rPr>
        <w:t xml:space="preserve">in the spring with closer spacing to create more </w:t>
      </w:r>
      <w:r w:rsidR="00A330A2">
        <w:rPr>
          <w:sz w:val="28"/>
        </w:rPr>
        <w:t>holes for roots to grow.</w:t>
      </w:r>
    </w:p>
    <w:p w:rsidR="005F06C7" w:rsidRDefault="003B4E85" w:rsidP="005F06C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growth regulators.</w:t>
      </w:r>
      <w:r w:rsidR="00CF2B4B">
        <w:rPr>
          <w:sz w:val="28"/>
        </w:rPr>
        <w:t xml:space="preserve">  </w:t>
      </w:r>
      <w:r>
        <w:rPr>
          <w:sz w:val="28"/>
        </w:rPr>
        <w:t>B</w:t>
      </w:r>
      <w:r w:rsidR="005F06C7" w:rsidRPr="0028653A">
        <w:rPr>
          <w:sz w:val="28"/>
        </w:rPr>
        <w:t xml:space="preserve">egin Proxy (5.0 </w:t>
      </w:r>
      <w:r w:rsidR="00F95B19">
        <w:rPr>
          <w:sz w:val="28"/>
        </w:rPr>
        <w:t xml:space="preserve">fl. </w:t>
      </w:r>
      <w:r w:rsidR="005F06C7" w:rsidRPr="0028653A">
        <w:rPr>
          <w:sz w:val="28"/>
        </w:rPr>
        <w:t>oz</w:t>
      </w:r>
      <w:r w:rsidR="00F95B19">
        <w:rPr>
          <w:sz w:val="28"/>
        </w:rPr>
        <w:t>.</w:t>
      </w:r>
      <w:r w:rsidR="005F06C7" w:rsidRPr="0028653A">
        <w:rPr>
          <w:sz w:val="28"/>
        </w:rPr>
        <w:t xml:space="preserve"> per 1,000</w:t>
      </w:r>
      <w:r w:rsidR="00332CBF">
        <w:rPr>
          <w:sz w:val="28"/>
        </w:rPr>
        <w:t xml:space="preserve"> sq. ft.</w:t>
      </w:r>
      <w:r w:rsidR="005F06C7" w:rsidRPr="0028653A">
        <w:rPr>
          <w:sz w:val="28"/>
        </w:rPr>
        <w:t xml:space="preserve">) and Primo </w:t>
      </w:r>
      <w:r w:rsidR="00F95B19">
        <w:rPr>
          <w:sz w:val="28"/>
        </w:rPr>
        <w:t xml:space="preserve">Maxx </w:t>
      </w:r>
      <w:r w:rsidR="005F06C7" w:rsidRPr="0028653A">
        <w:rPr>
          <w:sz w:val="28"/>
        </w:rPr>
        <w:t>(</w:t>
      </w:r>
      <w:r w:rsidR="00200341">
        <w:rPr>
          <w:sz w:val="28"/>
        </w:rPr>
        <w:t>0</w:t>
      </w:r>
      <w:r w:rsidR="005F06C7" w:rsidRPr="0028653A">
        <w:rPr>
          <w:sz w:val="28"/>
        </w:rPr>
        <w:t>.125</w:t>
      </w:r>
      <w:r w:rsidR="00F95B19">
        <w:rPr>
          <w:sz w:val="28"/>
        </w:rPr>
        <w:t xml:space="preserve"> fl.</w:t>
      </w:r>
      <w:r w:rsidR="005F06C7" w:rsidRPr="0028653A">
        <w:rPr>
          <w:sz w:val="28"/>
        </w:rPr>
        <w:t xml:space="preserve"> oz</w:t>
      </w:r>
      <w:r w:rsidR="00F95B19">
        <w:rPr>
          <w:sz w:val="28"/>
        </w:rPr>
        <w:t>.</w:t>
      </w:r>
      <w:r w:rsidR="005F06C7" w:rsidRPr="0028653A">
        <w:rPr>
          <w:sz w:val="28"/>
        </w:rPr>
        <w:t xml:space="preserve"> per 1,000</w:t>
      </w:r>
      <w:r w:rsidR="00332CBF">
        <w:rPr>
          <w:sz w:val="28"/>
        </w:rPr>
        <w:t xml:space="preserve"> sq. ft.</w:t>
      </w:r>
      <w:r w:rsidR="005F06C7" w:rsidRPr="0028653A">
        <w:rPr>
          <w:sz w:val="28"/>
        </w:rPr>
        <w:t xml:space="preserve">) applications in early to </w:t>
      </w:r>
      <w:r w:rsidR="002C0AB1" w:rsidRPr="002C0AB1">
        <w:rPr>
          <w:sz w:val="28"/>
        </w:rPr>
        <w:t>mid-March</w:t>
      </w:r>
      <w:r w:rsidR="00A330A2">
        <w:rPr>
          <w:sz w:val="28"/>
        </w:rPr>
        <w:t xml:space="preserve"> in Oregon</w:t>
      </w:r>
      <w:r w:rsidR="005F06C7" w:rsidRPr="0028653A">
        <w:rPr>
          <w:sz w:val="28"/>
        </w:rPr>
        <w:t xml:space="preserve">.  Make 3 applications on a 4 week interval.  </w:t>
      </w:r>
      <w:r w:rsidR="00F643C8">
        <w:rPr>
          <w:sz w:val="28"/>
        </w:rPr>
        <w:t>Continue</w:t>
      </w:r>
      <w:r w:rsidR="005F06C7" w:rsidRPr="0028653A">
        <w:rPr>
          <w:sz w:val="28"/>
        </w:rPr>
        <w:t xml:space="preserve"> </w:t>
      </w:r>
      <w:r w:rsidR="008C5380">
        <w:rPr>
          <w:sz w:val="28"/>
        </w:rPr>
        <w:t xml:space="preserve">applying </w:t>
      </w:r>
      <w:r w:rsidR="005F06C7" w:rsidRPr="0028653A">
        <w:rPr>
          <w:sz w:val="28"/>
        </w:rPr>
        <w:t xml:space="preserve">Primo only </w:t>
      </w:r>
      <w:r w:rsidR="00F643C8">
        <w:rPr>
          <w:sz w:val="28"/>
        </w:rPr>
        <w:t xml:space="preserve">every </w:t>
      </w:r>
      <w:r w:rsidR="009C110B">
        <w:rPr>
          <w:sz w:val="28"/>
        </w:rPr>
        <w:t>2 weeks</w:t>
      </w:r>
      <w:r w:rsidR="00F643C8">
        <w:rPr>
          <w:sz w:val="28"/>
        </w:rPr>
        <w:t xml:space="preserve"> </w:t>
      </w:r>
      <w:r w:rsidR="00F069F0">
        <w:rPr>
          <w:sz w:val="28"/>
        </w:rPr>
        <w:t>until the end of summer except when applying a DMI fungicide.</w:t>
      </w:r>
      <w:r w:rsidR="00F643C8">
        <w:rPr>
          <w:sz w:val="28"/>
        </w:rPr>
        <w:t xml:space="preserve">  </w:t>
      </w:r>
    </w:p>
    <w:p w:rsidR="00F0722D" w:rsidRDefault="00F0722D" w:rsidP="005F06C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Keep your sulfur/sulfate levels below 1.5 lbs. per year.</w:t>
      </w:r>
    </w:p>
    <w:p w:rsidR="00332CBF" w:rsidRDefault="00332CBF" w:rsidP="00332CBF">
      <w:pPr>
        <w:pStyle w:val="ListParagraph"/>
        <w:rPr>
          <w:b/>
          <w:sz w:val="28"/>
        </w:rPr>
      </w:pPr>
    </w:p>
    <w:p w:rsidR="00332CBF" w:rsidRPr="00A411FE" w:rsidRDefault="00A411FE" w:rsidP="00332CBF">
      <w:pPr>
        <w:pStyle w:val="ListParagraph"/>
        <w:ind w:left="360"/>
        <w:rPr>
          <w:sz w:val="28"/>
        </w:rPr>
      </w:pPr>
      <w:r w:rsidRPr="00A411FE">
        <w:rPr>
          <w:sz w:val="28"/>
        </w:rPr>
        <w:t>For more detailed information, see http://turf.rutgers.edu/research/GCM-BMP-Anthracnose.pdf</w:t>
      </w:r>
    </w:p>
    <w:p w:rsidR="00C56844" w:rsidRDefault="00C56844" w:rsidP="00264988">
      <w:pPr>
        <w:jc w:val="center"/>
        <w:rPr>
          <w:b/>
          <w:sz w:val="32"/>
        </w:rPr>
      </w:pPr>
    </w:p>
    <w:p w:rsidR="00C56844" w:rsidRDefault="00C56844" w:rsidP="00264988">
      <w:pPr>
        <w:jc w:val="center"/>
        <w:rPr>
          <w:b/>
          <w:sz w:val="32"/>
        </w:rPr>
      </w:pPr>
    </w:p>
    <w:p w:rsidR="00332CBF" w:rsidRPr="00332CBF" w:rsidRDefault="00332CBF" w:rsidP="00B6170D">
      <w:pPr>
        <w:spacing w:after="0" w:line="240" w:lineRule="auto"/>
        <w:jc w:val="center"/>
        <w:rPr>
          <w:b/>
          <w:sz w:val="32"/>
        </w:rPr>
      </w:pPr>
      <w:r w:rsidRPr="00332CBF">
        <w:rPr>
          <w:b/>
          <w:sz w:val="32"/>
        </w:rPr>
        <w:t>Quick Guide to Anthracnose Control in the Pacific Northwest</w:t>
      </w:r>
      <w:r>
        <w:rPr>
          <w:b/>
          <w:sz w:val="32"/>
        </w:rPr>
        <w:t xml:space="preserve"> (Cont.)</w:t>
      </w:r>
    </w:p>
    <w:p w:rsidR="007B654E" w:rsidRDefault="007B654E" w:rsidP="00B6170D">
      <w:pPr>
        <w:pStyle w:val="ListParagraph"/>
        <w:spacing w:after="0" w:line="240" w:lineRule="auto"/>
        <w:ind w:left="360"/>
        <w:rPr>
          <w:b/>
          <w:sz w:val="32"/>
        </w:rPr>
      </w:pPr>
    </w:p>
    <w:p w:rsidR="00332CBF" w:rsidRDefault="00332CBF" w:rsidP="00B6170D">
      <w:pPr>
        <w:pStyle w:val="ListParagraph"/>
        <w:spacing w:after="0" w:line="240" w:lineRule="auto"/>
        <w:ind w:left="360"/>
        <w:rPr>
          <w:b/>
          <w:sz w:val="32"/>
        </w:rPr>
      </w:pPr>
      <w:r w:rsidRPr="00200341">
        <w:rPr>
          <w:b/>
          <w:sz w:val="32"/>
        </w:rPr>
        <w:t>Fungicide Rotation Programs:</w:t>
      </w:r>
      <w:r w:rsidR="001D247E" w:rsidRPr="00200341">
        <w:rPr>
          <w:b/>
          <w:sz w:val="32"/>
        </w:rPr>
        <w:t xml:space="preserve"> (Don’t be late with first application!)</w:t>
      </w:r>
    </w:p>
    <w:p w:rsidR="00B6170D" w:rsidRPr="00200341" w:rsidRDefault="00B6170D" w:rsidP="00B6170D">
      <w:pPr>
        <w:pStyle w:val="ListParagraph"/>
        <w:ind w:left="360"/>
        <w:rPr>
          <w:sz w:val="32"/>
        </w:rPr>
      </w:pPr>
    </w:p>
    <w:p w:rsidR="00332CBF" w:rsidRDefault="00B6170D" w:rsidP="007B654E">
      <w:pPr>
        <w:pStyle w:val="ListParagraph"/>
        <w:numPr>
          <w:ilvl w:val="0"/>
          <w:numId w:val="7"/>
        </w:numPr>
        <w:tabs>
          <w:tab w:val="left" w:pos="360"/>
        </w:tabs>
        <w:ind w:hanging="1800"/>
        <w:rPr>
          <w:sz w:val="28"/>
        </w:rPr>
      </w:pPr>
      <w:r>
        <w:rPr>
          <w:sz w:val="28"/>
        </w:rPr>
        <w:t>Goal is to Limit the Number of Fungicide Application</w:t>
      </w:r>
    </w:p>
    <w:p w:rsidR="00B6170D" w:rsidRDefault="00B6170D" w:rsidP="00B6170D">
      <w:pPr>
        <w:pStyle w:val="ListParagraph"/>
        <w:ind w:left="360"/>
        <w:rPr>
          <w:sz w:val="28"/>
        </w:rPr>
      </w:pPr>
    </w:p>
    <w:p w:rsidR="00332CBF" w:rsidRDefault="00F643C8" w:rsidP="00B6170D">
      <w:pPr>
        <w:pStyle w:val="ListParagraph"/>
        <w:numPr>
          <w:ilvl w:val="1"/>
          <w:numId w:val="7"/>
        </w:numPr>
        <w:ind w:left="990" w:hanging="270"/>
        <w:rPr>
          <w:sz w:val="28"/>
        </w:rPr>
      </w:pPr>
      <w:r>
        <w:rPr>
          <w:sz w:val="28"/>
        </w:rPr>
        <w:t xml:space="preserve"> No resistance issues</w:t>
      </w:r>
    </w:p>
    <w:p w:rsidR="00580FCA" w:rsidRDefault="00580FCA" w:rsidP="00580FCA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8"/>
        <w:gridCol w:w="4272"/>
        <w:gridCol w:w="2490"/>
      </w:tblGrid>
      <w:tr w:rsidR="00332CBF" w:rsidTr="00332CBF">
        <w:tc>
          <w:tcPr>
            <w:tcW w:w="1908" w:type="dxa"/>
          </w:tcPr>
          <w:p w:rsidR="00332CBF" w:rsidRDefault="00332CBF" w:rsidP="00332CB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410" w:type="dxa"/>
          </w:tcPr>
          <w:p w:rsidR="00332CBF" w:rsidRDefault="00332CBF" w:rsidP="00332CB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Chemicals</w:t>
            </w:r>
          </w:p>
        </w:tc>
        <w:tc>
          <w:tcPr>
            <w:tcW w:w="2538" w:type="dxa"/>
          </w:tcPr>
          <w:p w:rsidR="00332CBF" w:rsidRDefault="00332CBF" w:rsidP="00332CB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Notes</w:t>
            </w:r>
          </w:p>
        </w:tc>
      </w:tr>
      <w:tr w:rsidR="00332CBF" w:rsidTr="00332CBF">
        <w:tc>
          <w:tcPr>
            <w:tcW w:w="1908" w:type="dxa"/>
          </w:tcPr>
          <w:p w:rsidR="00332CBF" w:rsidRDefault="00332CBF" w:rsidP="00332CBF">
            <w:pPr>
              <w:pStyle w:val="ListParagraph"/>
              <w:ind w:left="0"/>
              <w:rPr>
                <w:sz w:val="28"/>
              </w:rPr>
            </w:pPr>
          </w:p>
          <w:p w:rsidR="00332CBF" w:rsidRDefault="00332CBF" w:rsidP="00332CB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332CBF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week of June</w:t>
            </w:r>
          </w:p>
        </w:tc>
        <w:tc>
          <w:tcPr>
            <w:tcW w:w="4410" w:type="dxa"/>
          </w:tcPr>
          <w:p w:rsidR="00332CBF" w:rsidRDefault="00332CBF" w:rsidP="00F643C8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Banner, </w:t>
            </w:r>
            <w:r w:rsidR="00F643C8">
              <w:rPr>
                <w:sz w:val="28"/>
              </w:rPr>
              <w:t>Mirage</w:t>
            </w:r>
            <w:r>
              <w:rPr>
                <w:sz w:val="28"/>
              </w:rPr>
              <w:t>, Torque</w:t>
            </w:r>
            <w:r w:rsidR="00F643C8">
              <w:rPr>
                <w:sz w:val="28"/>
              </w:rPr>
              <w:t>, Briskway, or Trinity</w:t>
            </w:r>
            <w:r w:rsidR="00C56844" w:rsidRPr="00C56844">
              <w:rPr>
                <w:sz w:val="28"/>
                <w:vertAlign w:val="superscript"/>
              </w:rPr>
              <w:t>1</w:t>
            </w:r>
            <w:r w:rsidR="00F643C8">
              <w:rPr>
                <w:sz w:val="28"/>
              </w:rPr>
              <w:t xml:space="preserve">.  </w:t>
            </w:r>
            <w:r>
              <w:rPr>
                <w:sz w:val="28"/>
              </w:rPr>
              <w:t>(Avoid Bayleton &amp; Tourney)</w:t>
            </w:r>
            <w:r w:rsidR="00925A7D">
              <w:rPr>
                <w:sz w:val="28"/>
              </w:rPr>
              <w:t xml:space="preserve"> </w:t>
            </w:r>
            <w:r>
              <w:rPr>
                <w:sz w:val="28"/>
              </w:rPr>
              <w:t>m</w:t>
            </w:r>
            <w:r w:rsidR="00F643C8">
              <w:rPr>
                <w:sz w:val="28"/>
              </w:rPr>
              <w:t>ixed with Daconil</w:t>
            </w:r>
          </w:p>
        </w:tc>
        <w:tc>
          <w:tcPr>
            <w:tcW w:w="2538" w:type="dxa"/>
          </w:tcPr>
          <w:p w:rsidR="00332CBF" w:rsidRDefault="00332CBF" w:rsidP="00925A7D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Bayleton is weak.  Tourney injures </w:t>
            </w:r>
            <w:r w:rsidR="00925A7D" w:rsidRPr="00925A7D">
              <w:rPr>
                <w:i/>
                <w:sz w:val="28"/>
              </w:rPr>
              <w:t>P</w:t>
            </w:r>
            <w:r w:rsidRPr="00925A7D">
              <w:rPr>
                <w:i/>
                <w:sz w:val="28"/>
              </w:rPr>
              <w:t>oa</w:t>
            </w:r>
            <w:r w:rsidR="00925A7D" w:rsidRPr="00925A7D">
              <w:rPr>
                <w:i/>
                <w:sz w:val="28"/>
              </w:rPr>
              <w:t xml:space="preserve"> annua</w:t>
            </w:r>
            <w:r w:rsidRPr="00925A7D">
              <w:rPr>
                <w:i/>
                <w:sz w:val="28"/>
              </w:rPr>
              <w:t>.</w:t>
            </w:r>
          </w:p>
        </w:tc>
      </w:tr>
      <w:tr w:rsidR="00332CBF" w:rsidTr="00332CBF">
        <w:tc>
          <w:tcPr>
            <w:tcW w:w="1908" w:type="dxa"/>
          </w:tcPr>
          <w:p w:rsidR="00332CBF" w:rsidRDefault="00332CBF" w:rsidP="00332CB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332CBF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week of July</w:t>
            </w:r>
          </w:p>
        </w:tc>
        <w:tc>
          <w:tcPr>
            <w:tcW w:w="4410" w:type="dxa"/>
          </w:tcPr>
          <w:p w:rsidR="00332CBF" w:rsidRDefault="003E2000" w:rsidP="003E2000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Heritage or</w:t>
            </w:r>
            <w:r w:rsidR="00332CBF">
              <w:rPr>
                <w:sz w:val="28"/>
              </w:rPr>
              <w:t xml:space="preserve"> Insignia m</w:t>
            </w:r>
            <w:r w:rsidR="00F643C8">
              <w:rPr>
                <w:sz w:val="28"/>
              </w:rPr>
              <w:t>ixed with Daconil</w:t>
            </w:r>
          </w:p>
        </w:tc>
        <w:tc>
          <w:tcPr>
            <w:tcW w:w="2538" w:type="dxa"/>
          </w:tcPr>
          <w:p w:rsidR="00332CBF" w:rsidRDefault="003E2000" w:rsidP="00332CB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Compass is not effective </w:t>
            </w:r>
          </w:p>
        </w:tc>
      </w:tr>
      <w:tr w:rsidR="00332CBF" w:rsidTr="00332CBF">
        <w:tc>
          <w:tcPr>
            <w:tcW w:w="1908" w:type="dxa"/>
          </w:tcPr>
          <w:p w:rsidR="00332CBF" w:rsidRDefault="00C56BF2" w:rsidP="00332CB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56BF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 of August</w:t>
            </w:r>
          </w:p>
        </w:tc>
        <w:tc>
          <w:tcPr>
            <w:tcW w:w="4410" w:type="dxa"/>
          </w:tcPr>
          <w:p w:rsidR="00332CBF" w:rsidRDefault="00C56BF2" w:rsidP="00332CB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Cleary’</w:t>
            </w:r>
            <w:r w:rsidR="00580FCA">
              <w:rPr>
                <w:sz w:val="28"/>
              </w:rPr>
              <w:t>s 3336, Fungo, Systec,</w:t>
            </w:r>
            <w:r w:rsidR="00925A7D">
              <w:rPr>
                <w:sz w:val="28"/>
              </w:rPr>
              <w:t xml:space="preserve"> </w:t>
            </w:r>
            <w:r w:rsidR="00580FCA">
              <w:rPr>
                <w:sz w:val="28"/>
              </w:rPr>
              <w:t>Topsin etc</w:t>
            </w:r>
            <w:r w:rsidR="00925A7D">
              <w:rPr>
                <w:sz w:val="28"/>
              </w:rPr>
              <w:t>.</w:t>
            </w:r>
            <w:r>
              <w:rPr>
                <w:sz w:val="28"/>
              </w:rPr>
              <w:t xml:space="preserve"> m</w:t>
            </w:r>
            <w:r w:rsidR="00F643C8">
              <w:rPr>
                <w:sz w:val="28"/>
              </w:rPr>
              <w:t>ixed with Daconil</w:t>
            </w:r>
          </w:p>
        </w:tc>
        <w:tc>
          <w:tcPr>
            <w:tcW w:w="2538" w:type="dxa"/>
          </w:tcPr>
          <w:p w:rsidR="00332CBF" w:rsidRDefault="00580FCA" w:rsidP="00332CB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This application will take you into September</w:t>
            </w:r>
          </w:p>
        </w:tc>
      </w:tr>
    </w:tbl>
    <w:p w:rsidR="00332CBF" w:rsidRDefault="00332CBF" w:rsidP="00332CBF">
      <w:pPr>
        <w:pStyle w:val="ListParagraph"/>
        <w:rPr>
          <w:sz w:val="28"/>
        </w:rPr>
      </w:pPr>
    </w:p>
    <w:p w:rsidR="00332CBF" w:rsidRDefault="00580FCA" w:rsidP="00B6170D">
      <w:pPr>
        <w:pStyle w:val="ListParagraph"/>
        <w:numPr>
          <w:ilvl w:val="1"/>
          <w:numId w:val="7"/>
        </w:numPr>
        <w:ind w:left="1530" w:hanging="810"/>
        <w:rPr>
          <w:sz w:val="28"/>
        </w:rPr>
      </w:pPr>
      <w:r>
        <w:rPr>
          <w:sz w:val="28"/>
        </w:rPr>
        <w:t>With Strobilurin and thiophanate methyl resistance</w:t>
      </w:r>
      <w:r w:rsidR="001D247E">
        <w:rPr>
          <w:sz w:val="28"/>
        </w:rPr>
        <w:t xml:space="preserve"> (</w:t>
      </w:r>
      <w:r w:rsidR="001D247E" w:rsidRPr="00E37E5B">
        <w:rPr>
          <w:b/>
          <w:sz w:val="28"/>
        </w:rPr>
        <w:t>3 week spray interval</w:t>
      </w:r>
      <w:r w:rsidR="001D247E">
        <w:rPr>
          <w:sz w:val="28"/>
        </w:rPr>
        <w:t>)</w:t>
      </w:r>
    </w:p>
    <w:p w:rsidR="001D247E" w:rsidRDefault="001D247E" w:rsidP="001D247E">
      <w:pPr>
        <w:pStyle w:val="ListParagraph"/>
        <w:rPr>
          <w:sz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64"/>
        <w:gridCol w:w="4264"/>
        <w:gridCol w:w="2502"/>
      </w:tblGrid>
      <w:tr w:rsidR="00580FCA" w:rsidTr="00427C7F">
        <w:tc>
          <w:tcPr>
            <w:tcW w:w="1908" w:type="dxa"/>
          </w:tcPr>
          <w:p w:rsidR="00580FCA" w:rsidRDefault="00580FCA" w:rsidP="00427C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410" w:type="dxa"/>
          </w:tcPr>
          <w:p w:rsidR="00580FCA" w:rsidRDefault="00580FCA" w:rsidP="00427C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Chemicals</w:t>
            </w:r>
          </w:p>
        </w:tc>
        <w:tc>
          <w:tcPr>
            <w:tcW w:w="2538" w:type="dxa"/>
          </w:tcPr>
          <w:p w:rsidR="00580FCA" w:rsidRDefault="00580FCA" w:rsidP="00427C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Notes</w:t>
            </w:r>
          </w:p>
        </w:tc>
      </w:tr>
      <w:tr w:rsidR="00580FCA" w:rsidTr="00427C7F">
        <w:tc>
          <w:tcPr>
            <w:tcW w:w="1908" w:type="dxa"/>
          </w:tcPr>
          <w:p w:rsidR="00580FCA" w:rsidRDefault="00580FCA" w:rsidP="00427C7F">
            <w:pPr>
              <w:pStyle w:val="ListParagraph"/>
              <w:ind w:left="0"/>
              <w:rPr>
                <w:sz w:val="28"/>
              </w:rPr>
            </w:pPr>
          </w:p>
          <w:p w:rsidR="00580FCA" w:rsidRDefault="00580FCA" w:rsidP="00427C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332CBF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week of June</w:t>
            </w:r>
          </w:p>
        </w:tc>
        <w:tc>
          <w:tcPr>
            <w:tcW w:w="4410" w:type="dxa"/>
          </w:tcPr>
          <w:p w:rsidR="00580FCA" w:rsidRDefault="00F643C8" w:rsidP="00925A7D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Banner, Mirage, Torque, Briskway, or Trinity</w:t>
            </w:r>
            <w:r w:rsidR="00C56844" w:rsidRPr="00C56844"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 (Avoid Bayleton &amp; Tourney) m</w:t>
            </w:r>
            <w:r>
              <w:rPr>
                <w:sz w:val="28"/>
              </w:rPr>
              <w:t xml:space="preserve">ixed with Daconil </w:t>
            </w:r>
          </w:p>
        </w:tc>
        <w:tc>
          <w:tcPr>
            <w:tcW w:w="2538" w:type="dxa"/>
          </w:tcPr>
          <w:p w:rsidR="00580FCA" w:rsidRDefault="00580FCA" w:rsidP="00925A7D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Bayleton is weak.  Tourney injures </w:t>
            </w:r>
            <w:r w:rsidR="00925A7D" w:rsidRPr="00925A7D">
              <w:rPr>
                <w:i/>
                <w:sz w:val="28"/>
              </w:rPr>
              <w:t>Poa annua.</w:t>
            </w:r>
          </w:p>
        </w:tc>
      </w:tr>
      <w:tr w:rsidR="00580FCA" w:rsidTr="00427C7F">
        <w:tc>
          <w:tcPr>
            <w:tcW w:w="1908" w:type="dxa"/>
          </w:tcPr>
          <w:p w:rsidR="00580FCA" w:rsidRDefault="00580FCA" w:rsidP="00427C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332CBF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week of July</w:t>
            </w:r>
          </w:p>
        </w:tc>
        <w:tc>
          <w:tcPr>
            <w:tcW w:w="4410" w:type="dxa"/>
          </w:tcPr>
          <w:p w:rsidR="00580FCA" w:rsidRDefault="00C56844" w:rsidP="001D247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Velista</w:t>
            </w:r>
            <w:r w:rsidR="00580FCA">
              <w:rPr>
                <w:sz w:val="28"/>
              </w:rPr>
              <w:t xml:space="preserve"> (</w:t>
            </w:r>
            <w:r w:rsidR="001D247E">
              <w:rPr>
                <w:sz w:val="28"/>
              </w:rPr>
              <w:t>0</w:t>
            </w:r>
            <w:r w:rsidR="00580FCA">
              <w:rPr>
                <w:sz w:val="28"/>
              </w:rPr>
              <w:t>.5 oz</w:t>
            </w:r>
            <w:r w:rsidR="001D247E">
              <w:rPr>
                <w:sz w:val="28"/>
              </w:rPr>
              <w:t>.</w:t>
            </w:r>
            <w:r w:rsidR="00580FCA">
              <w:rPr>
                <w:sz w:val="28"/>
              </w:rPr>
              <w:t>) m</w:t>
            </w:r>
            <w:r w:rsidR="00F643C8">
              <w:rPr>
                <w:sz w:val="28"/>
              </w:rPr>
              <w:t>ixed with Daconil</w:t>
            </w:r>
          </w:p>
        </w:tc>
        <w:tc>
          <w:tcPr>
            <w:tcW w:w="2538" w:type="dxa"/>
          </w:tcPr>
          <w:p w:rsidR="00580FCA" w:rsidRDefault="00580FCA" w:rsidP="00427C7F">
            <w:pPr>
              <w:pStyle w:val="ListParagraph"/>
              <w:ind w:left="0"/>
              <w:rPr>
                <w:sz w:val="28"/>
              </w:rPr>
            </w:pPr>
          </w:p>
        </w:tc>
      </w:tr>
      <w:tr w:rsidR="00580FCA" w:rsidTr="00427C7F">
        <w:tc>
          <w:tcPr>
            <w:tcW w:w="1908" w:type="dxa"/>
          </w:tcPr>
          <w:p w:rsidR="00580FCA" w:rsidRDefault="00580FCA" w:rsidP="00427C7F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56BF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 of August</w:t>
            </w:r>
          </w:p>
        </w:tc>
        <w:tc>
          <w:tcPr>
            <w:tcW w:w="4410" w:type="dxa"/>
          </w:tcPr>
          <w:p w:rsidR="00580FCA" w:rsidRDefault="001D247E" w:rsidP="00427C7F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Signature (4.0 oz.)</w:t>
            </w:r>
            <w:r w:rsidR="00580FCA">
              <w:rPr>
                <w:sz w:val="28"/>
              </w:rPr>
              <w:t xml:space="preserve"> mixed with Daconil </w:t>
            </w:r>
            <w:proofErr w:type="spellStart"/>
            <w:r w:rsidR="00580FCA">
              <w:rPr>
                <w:sz w:val="28"/>
              </w:rPr>
              <w:t>Ultrex</w:t>
            </w:r>
            <w:proofErr w:type="spellEnd"/>
            <w:r w:rsidR="00580FCA">
              <w:rPr>
                <w:sz w:val="28"/>
              </w:rPr>
              <w:t xml:space="preserve"> (3.2 oz</w:t>
            </w:r>
            <w:r>
              <w:rPr>
                <w:sz w:val="28"/>
              </w:rPr>
              <w:t>.</w:t>
            </w:r>
            <w:r w:rsidR="00580FCA">
              <w:rPr>
                <w:sz w:val="28"/>
              </w:rPr>
              <w:t>)</w:t>
            </w:r>
          </w:p>
        </w:tc>
        <w:tc>
          <w:tcPr>
            <w:tcW w:w="2538" w:type="dxa"/>
          </w:tcPr>
          <w:p w:rsidR="00580FCA" w:rsidRDefault="001D247E" w:rsidP="001D247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If hot temperatures occur earlier, switch the 2</w:t>
            </w:r>
            <w:r w:rsidRPr="001D247E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and 3</w:t>
            </w:r>
            <w:r w:rsidRPr="001D247E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applications</w:t>
            </w:r>
          </w:p>
        </w:tc>
      </w:tr>
    </w:tbl>
    <w:p w:rsidR="00580FCA" w:rsidRDefault="00580FCA" w:rsidP="00580FCA">
      <w:pPr>
        <w:rPr>
          <w:sz w:val="28"/>
        </w:rPr>
      </w:pPr>
    </w:p>
    <w:p w:rsidR="00C56844" w:rsidRDefault="00195DA1" w:rsidP="00C56844">
      <w:pPr>
        <w:rPr>
          <w:sz w:val="28"/>
        </w:rPr>
      </w:pPr>
      <w:r>
        <w:rPr>
          <w:sz w:val="28"/>
        </w:rPr>
        <w:t xml:space="preserve">Note:  As you move into September and </w:t>
      </w:r>
      <w:r w:rsidRPr="00DF60E6">
        <w:rPr>
          <w:i/>
          <w:sz w:val="28"/>
        </w:rPr>
        <w:t>Microdochium</w:t>
      </w:r>
      <w:r>
        <w:rPr>
          <w:sz w:val="28"/>
        </w:rPr>
        <w:t xml:space="preserve"> patch season starts, </w:t>
      </w:r>
      <w:r w:rsidR="00C56844">
        <w:rPr>
          <w:sz w:val="28"/>
        </w:rPr>
        <w:t xml:space="preserve">you can apply Banner Maxx </w:t>
      </w:r>
      <w:r>
        <w:rPr>
          <w:sz w:val="28"/>
        </w:rPr>
        <w:t xml:space="preserve">which is strong on </w:t>
      </w:r>
      <w:r w:rsidRPr="00DF60E6">
        <w:rPr>
          <w:i/>
          <w:sz w:val="28"/>
        </w:rPr>
        <w:t>Microdochium</w:t>
      </w:r>
      <w:r>
        <w:rPr>
          <w:sz w:val="28"/>
        </w:rPr>
        <w:t xml:space="preserve"> patch and will also control anthracnose.  Note: </w:t>
      </w:r>
      <w:r w:rsidR="00C56844">
        <w:rPr>
          <w:sz w:val="28"/>
        </w:rPr>
        <w:t>Mirage, Briskway,</w:t>
      </w:r>
      <w:r>
        <w:rPr>
          <w:sz w:val="28"/>
        </w:rPr>
        <w:t xml:space="preserve"> Trinity, and Torque are all weak on </w:t>
      </w:r>
      <w:r w:rsidRPr="00DF60E6">
        <w:rPr>
          <w:i/>
          <w:sz w:val="28"/>
        </w:rPr>
        <w:t>Microdochium</w:t>
      </w:r>
      <w:r>
        <w:rPr>
          <w:sz w:val="28"/>
        </w:rPr>
        <w:t xml:space="preserve"> patch.</w:t>
      </w:r>
    </w:p>
    <w:p w:rsidR="00C56844" w:rsidRPr="00C56844" w:rsidRDefault="00C56844" w:rsidP="00C56844">
      <w:r>
        <w:rPr>
          <w:sz w:val="28"/>
          <w:vertAlign w:val="superscript"/>
        </w:rPr>
        <w:lastRenderedPageBreak/>
        <w:t xml:space="preserve">1 </w:t>
      </w:r>
      <w:r>
        <w:t>Trinity has the most PGR effect of these fungicides listed</w:t>
      </w:r>
      <w:r w:rsidR="003E2000">
        <w:t>, except Tourney which I would not apply to Poa greens.</w:t>
      </w:r>
      <w:r>
        <w:t xml:space="preserve">  As </w:t>
      </w:r>
      <w:r w:rsidRPr="00C56844">
        <w:rPr>
          <w:i/>
        </w:rPr>
        <w:t>Poa annua</w:t>
      </w:r>
      <w:r>
        <w:t xml:space="preserve"> sensitivity to DMI fungicides varies, be extremely careful with rates of Trinity greater than 1.0 fl. oz</w:t>
      </w:r>
      <w:proofErr w:type="gramStart"/>
      <w:r>
        <w:t>./</w:t>
      </w:r>
      <w:proofErr w:type="gramEnd"/>
      <w:r>
        <w:t>1,000 ft</w:t>
      </w:r>
      <w:r w:rsidRPr="00C56844">
        <w:rPr>
          <w:vertAlign w:val="superscript"/>
        </w:rPr>
        <w:t>2</w:t>
      </w:r>
      <w:r>
        <w:t xml:space="preserve"> or repeat applications.  In general, limit retreatment intervals to 4 weeks or longer.</w:t>
      </w:r>
      <w:r w:rsidR="00B6170D">
        <w:t xml:space="preserve">  If you have sensitive Poa, use Briskway as it does not have a PGR effect.</w:t>
      </w:r>
    </w:p>
    <w:p w:rsidR="00C56844" w:rsidRDefault="00C56844" w:rsidP="00264988">
      <w:pPr>
        <w:jc w:val="center"/>
        <w:rPr>
          <w:b/>
          <w:sz w:val="32"/>
        </w:rPr>
      </w:pPr>
    </w:p>
    <w:p w:rsidR="00264988" w:rsidRDefault="00264988" w:rsidP="007B654E">
      <w:pPr>
        <w:rPr>
          <w:b/>
          <w:sz w:val="32"/>
        </w:rPr>
      </w:pPr>
      <w:r w:rsidRPr="00332CBF">
        <w:rPr>
          <w:b/>
          <w:sz w:val="32"/>
        </w:rPr>
        <w:t>Quick Guide to Anthracnose Control in the Pacific Northwest</w:t>
      </w:r>
      <w:r>
        <w:rPr>
          <w:b/>
          <w:sz w:val="32"/>
        </w:rPr>
        <w:t xml:space="preserve"> (Cont.)</w:t>
      </w:r>
    </w:p>
    <w:p w:rsidR="00E37E5B" w:rsidRPr="00C56844" w:rsidRDefault="00C56844" w:rsidP="007B654E">
      <w:pPr>
        <w:pStyle w:val="ListParagraph"/>
        <w:numPr>
          <w:ilvl w:val="0"/>
          <w:numId w:val="7"/>
        </w:numPr>
        <w:tabs>
          <w:tab w:val="left" w:pos="180"/>
        </w:tabs>
        <w:ind w:left="270"/>
        <w:rPr>
          <w:sz w:val="28"/>
        </w:rPr>
      </w:pPr>
      <w:r w:rsidRPr="00C56844">
        <w:rPr>
          <w:sz w:val="28"/>
        </w:rPr>
        <w:t>Cadillac Program (</w:t>
      </w:r>
      <w:r w:rsidRPr="00C56844">
        <w:rPr>
          <w:b/>
          <w:sz w:val="28"/>
        </w:rPr>
        <w:t>2 week Spray Interval</w:t>
      </w:r>
      <w:r w:rsidRPr="00C56844">
        <w:rPr>
          <w:sz w:val="28"/>
        </w:rPr>
        <w:t>)</w:t>
      </w:r>
      <w:r w:rsidRPr="00C56844">
        <w:rPr>
          <w:sz w:val="28"/>
        </w:rPr>
        <w:t xml:space="preserve"> - </w:t>
      </w:r>
      <w:r>
        <w:rPr>
          <w:sz w:val="28"/>
        </w:rPr>
        <w:t>No resistance issues</w:t>
      </w:r>
    </w:p>
    <w:tbl>
      <w:tblPr>
        <w:tblStyle w:val="TableGrid"/>
        <w:tblpPr w:leftFromText="180" w:rightFromText="180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2538"/>
      </w:tblGrid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  <w:tc>
          <w:tcPr>
            <w:tcW w:w="4410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Chemicals</w:t>
            </w:r>
          </w:p>
        </w:tc>
        <w:tc>
          <w:tcPr>
            <w:tcW w:w="253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Notes</w:t>
            </w: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</w:p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56BF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 of June</w:t>
            </w:r>
          </w:p>
        </w:tc>
        <w:tc>
          <w:tcPr>
            <w:tcW w:w="4410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Banner, Mirage, Torque, Briskway, or Trinity</w:t>
            </w:r>
            <w:r w:rsidR="007B654E" w:rsidRPr="00C56844"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.  (Avoid Bayleton &amp; Tourney) mixed with Daconil</w:t>
            </w:r>
          </w:p>
        </w:tc>
        <w:tc>
          <w:tcPr>
            <w:tcW w:w="2538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Bayleton is weak.  Tourney injures </w:t>
            </w:r>
            <w:r w:rsidRPr="0095154E">
              <w:rPr>
                <w:i/>
                <w:sz w:val="28"/>
              </w:rPr>
              <w:t>Poa annua.</w:t>
            </w: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C0AB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week of June</w:t>
            </w:r>
          </w:p>
        </w:tc>
        <w:tc>
          <w:tcPr>
            <w:tcW w:w="4410" w:type="dxa"/>
          </w:tcPr>
          <w:p w:rsidR="00B6170D" w:rsidRDefault="001B64E8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Heritage or Insignia </w:t>
            </w:r>
            <w:r w:rsidR="00B6170D">
              <w:rPr>
                <w:sz w:val="28"/>
              </w:rPr>
              <w:t>mixed with Daconil</w:t>
            </w:r>
          </w:p>
        </w:tc>
        <w:tc>
          <w:tcPr>
            <w:tcW w:w="2538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56BF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 of July</w:t>
            </w:r>
          </w:p>
        </w:tc>
        <w:tc>
          <w:tcPr>
            <w:tcW w:w="4410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Velista (0.5 oz)</w:t>
            </w:r>
            <w:r>
              <w:rPr>
                <w:sz w:val="28"/>
              </w:rPr>
              <w:t xml:space="preserve"> mixed with </w:t>
            </w:r>
            <w:r>
              <w:rPr>
                <w:sz w:val="28"/>
              </w:rPr>
              <w:t>Daconil</w:t>
            </w:r>
          </w:p>
        </w:tc>
        <w:tc>
          <w:tcPr>
            <w:tcW w:w="2538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C0AB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week of July</w:t>
            </w:r>
          </w:p>
        </w:tc>
        <w:tc>
          <w:tcPr>
            <w:tcW w:w="4410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Signature </w:t>
            </w:r>
            <w:r w:rsidR="00837644">
              <w:rPr>
                <w:sz w:val="28"/>
              </w:rPr>
              <w:t xml:space="preserve">Xtra </w:t>
            </w:r>
            <w:r>
              <w:rPr>
                <w:sz w:val="28"/>
              </w:rPr>
              <w:t>(4.0 oz.) mix</w:t>
            </w:r>
            <w:r>
              <w:rPr>
                <w:sz w:val="28"/>
              </w:rPr>
              <w:t>ed with Daconil</w:t>
            </w:r>
          </w:p>
        </w:tc>
        <w:tc>
          <w:tcPr>
            <w:tcW w:w="2538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If hot temperatures occur earlier, switch the 3</w:t>
            </w:r>
            <w:r w:rsidRPr="001D247E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and 4</w:t>
            </w:r>
            <w:r w:rsidRPr="002C0AB1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applications</w:t>
            </w: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56BF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 of August</w:t>
            </w:r>
          </w:p>
        </w:tc>
        <w:tc>
          <w:tcPr>
            <w:tcW w:w="4410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Cleary’s 3336, TM 4.5 Flowable, Systec, Topsin, etc. mixed with </w:t>
            </w:r>
            <w:r w:rsidR="007B654E">
              <w:rPr>
                <w:sz w:val="28"/>
              </w:rPr>
              <w:t>Daconil</w:t>
            </w:r>
          </w:p>
        </w:tc>
        <w:tc>
          <w:tcPr>
            <w:tcW w:w="2538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2C0AB1">
              <w:rPr>
                <w:sz w:val="28"/>
                <w:vertAlign w:val="superscript"/>
              </w:rPr>
              <w:t>rd</w:t>
            </w:r>
            <w:r>
              <w:rPr>
                <w:sz w:val="28"/>
              </w:rPr>
              <w:t xml:space="preserve"> week of August</w:t>
            </w:r>
          </w:p>
        </w:tc>
        <w:tc>
          <w:tcPr>
            <w:tcW w:w="4410" w:type="dxa"/>
          </w:tcPr>
          <w:p w:rsidR="00B6170D" w:rsidRDefault="00B6170D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Affirm (0.9 oz.) or Endorse (4.0 oz.) mix</w:t>
            </w:r>
            <w:r w:rsidR="00EE33E8">
              <w:rPr>
                <w:sz w:val="28"/>
              </w:rPr>
              <w:t>ed with Daconil</w:t>
            </w:r>
          </w:p>
        </w:tc>
        <w:tc>
          <w:tcPr>
            <w:tcW w:w="2538" w:type="dxa"/>
          </w:tcPr>
          <w:p w:rsidR="00B6170D" w:rsidRDefault="00E4448C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Affirm is good on M. Patch so could switch with last app</w:t>
            </w:r>
          </w:p>
        </w:tc>
      </w:tr>
      <w:tr w:rsidR="00B6170D" w:rsidTr="007B654E">
        <w:tc>
          <w:tcPr>
            <w:tcW w:w="1908" w:type="dxa"/>
          </w:tcPr>
          <w:p w:rsidR="00B6170D" w:rsidRDefault="00B6170D" w:rsidP="007B654E">
            <w:pPr>
              <w:pStyle w:val="ListParagraph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56BF2">
              <w:rPr>
                <w:sz w:val="28"/>
                <w:vertAlign w:val="superscript"/>
              </w:rPr>
              <w:t>st</w:t>
            </w:r>
            <w:r>
              <w:rPr>
                <w:sz w:val="28"/>
              </w:rPr>
              <w:t xml:space="preserve"> week of September</w:t>
            </w:r>
          </w:p>
        </w:tc>
        <w:tc>
          <w:tcPr>
            <w:tcW w:w="4410" w:type="dxa"/>
          </w:tcPr>
          <w:p w:rsidR="00B6170D" w:rsidRDefault="003E2275" w:rsidP="003E2275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Premion</w:t>
            </w:r>
            <w:bookmarkStart w:id="0" w:name="_GoBack"/>
            <w:bookmarkEnd w:id="0"/>
            <w:r w:rsidR="00B6170D">
              <w:rPr>
                <w:sz w:val="28"/>
              </w:rPr>
              <w:t xml:space="preserve"> (</w:t>
            </w:r>
            <w:r>
              <w:rPr>
                <w:sz w:val="28"/>
              </w:rPr>
              <w:t>6</w:t>
            </w:r>
            <w:r w:rsidR="00B6170D">
              <w:rPr>
                <w:sz w:val="28"/>
              </w:rPr>
              <w:t xml:space="preserve">.0 fl. oz.) – will work as your first </w:t>
            </w:r>
            <w:r w:rsidR="00B6170D" w:rsidRPr="00DF60E6">
              <w:rPr>
                <w:i/>
                <w:sz w:val="28"/>
              </w:rPr>
              <w:t>Microdochium</w:t>
            </w:r>
            <w:r w:rsidR="00B6170D">
              <w:rPr>
                <w:sz w:val="28"/>
              </w:rPr>
              <w:t xml:space="preserve"> patch application as well.</w:t>
            </w:r>
          </w:p>
        </w:tc>
        <w:tc>
          <w:tcPr>
            <w:tcW w:w="2538" w:type="dxa"/>
          </w:tcPr>
          <w:p w:rsidR="00B6170D" w:rsidRDefault="00E4448C" w:rsidP="007B654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Includes PCNB + Tebuconazole</w:t>
            </w:r>
          </w:p>
        </w:tc>
      </w:tr>
    </w:tbl>
    <w:p w:rsidR="00B03489" w:rsidRDefault="00B03489" w:rsidP="00E37E5B">
      <w:pPr>
        <w:rPr>
          <w:sz w:val="28"/>
        </w:rPr>
      </w:pPr>
    </w:p>
    <w:p w:rsidR="00B03489" w:rsidRDefault="00B03489" w:rsidP="00E37E5B">
      <w:pPr>
        <w:rPr>
          <w:sz w:val="28"/>
        </w:rPr>
      </w:pPr>
    </w:p>
    <w:p w:rsidR="00B03489" w:rsidRDefault="00707D13" w:rsidP="00E37E5B">
      <w:pPr>
        <w:rPr>
          <w:sz w:val="28"/>
        </w:rPr>
      </w:pPr>
      <w:r>
        <w:rPr>
          <w:sz w:val="28"/>
        </w:rPr>
        <w:t>Note: If desired, can add a phosphite to all applications except with Signature Xtra.</w:t>
      </w:r>
    </w:p>
    <w:p w:rsidR="00B03489" w:rsidRDefault="007B654E" w:rsidP="00E37E5B">
      <w:pPr>
        <w:rPr>
          <w:sz w:val="28"/>
        </w:rPr>
      </w:pPr>
      <w:r>
        <w:rPr>
          <w:sz w:val="28"/>
          <w:vertAlign w:val="superscript"/>
        </w:rPr>
        <w:t xml:space="preserve">1 </w:t>
      </w:r>
      <w:r>
        <w:t xml:space="preserve">Trinity has the most PGR effect of these fungicides listed, except Tourney which I would not apply to Poa greens.  As </w:t>
      </w:r>
      <w:r w:rsidRPr="00C56844">
        <w:rPr>
          <w:i/>
        </w:rPr>
        <w:t>Poa annua</w:t>
      </w:r>
      <w:r>
        <w:t xml:space="preserve"> sensitivity to DMI fungicides varies, be extremely careful with rates of Trinity greater than 1.0 fl. oz</w:t>
      </w:r>
      <w:proofErr w:type="gramStart"/>
      <w:r>
        <w:t>./</w:t>
      </w:r>
      <w:proofErr w:type="gramEnd"/>
      <w:r>
        <w:t>1,000 ft</w:t>
      </w:r>
      <w:r w:rsidRPr="00C56844">
        <w:rPr>
          <w:vertAlign w:val="superscript"/>
        </w:rPr>
        <w:t>2</w:t>
      </w:r>
      <w:r>
        <w:t xml:space="preserve"> or repeat applications.  In general, limit retreatment intervals to 4 weeks or longer.  If you have sensitive Poa, use Briskway as it does not have a PGR effect.</w:t>
      </w:r>
    </w:p>
    <w:p w:rsidR="00B03489" w:rsidRDefault="00B03489" w:rsidP="00E37E5B">
      <w:pPr>
        <w:rPr>
          <w:sz w:val="28"/>
        </w:rPr>
      </w:pPr>
    </w:p>
    <w:p w:rsidR="00C72FE7" w:rsidRPr="00C404CB" w:rsidRDefault="00B03489" w:rsidP="00C72FE7">
      <w:pPr>
        <w:rPr>
          <w:sz w:val="28"/>
        </w:rPr>
      </w:pPr>
      <w:r>
        <w:rPr>
          <w:sz w:val="28"/>
        </w:rPr>
        <w:t xml:space="preserve">Note: Avoid repeated applications </w:t>
      </w:r>
      <w:r w:rsidR="00935493">
        <w:rPr>
          <w:sz w:val="28"/>
        </w:rPr>
        <w:t xml:space="preserve">(less than 4 weeks apart) </w:t>
      </w:r>
      <w:r>
        <w:rPr>
          <w:sz w:val="28"/>
        </w:rPr>
        <w:t xml:space="preserve">of </w:t>
      </w:r>
      <w:r w:rsidR="00935493">
        <w:rPr>
          <w:sz w:val="28"/>
        </w:rPr>
        <w:t>DMI fungicides in the summer, especially in hot weather.  Drought stress or low fertility may increase damage.  These include B</w:t>
      </w:r>
      <w:r>
        <w:rPr>
          <w:sz w:val="28"/>
        </w:rPr>
        <w:t>anner</w:t>
      </w:r>
      <w:r w:rsidR="00935493">
        <w:rPr>
          <w:sz w:val="28"/>
        </w:rPr>
        <w:t xml:space="preserve"> Maxx</w:t>
      </w:r>
      <w:r>
        <w:rPr>
          <w:sz w:val="28"/>
        </w:rPr>
        <w:t xml:space="preserve">, </w:t>
      </w:r>
      <w:r w:rsidR="00935493">
        <w:rPr>
          <w:sz w:val="28"/>
        </w:rPr>
        <w:t>Mirage</w:t>
      </w:r>
      <w:r>
        <w:rPr>
          <w:sz w:val="28"/>
        </w:rPr>
        <w:t>, Trinity and Torque.</w:t>
      </w:r>
      <w:r w:rsidR="003C6083">
        <w:rPr>
          <w:sz w:val="28"/>
        </w:rPr>
        <w:t xml:space="preserve">  </w:t>
      </w:r>
      <w:r w:rsidR="00A80177">
        <w:rPr>
          <w:sz w:val="28"/>
        </w:rPr>
        <w:t xml:space="preserve"> </w:t>
      </w:r>
      <w:r w:rsidR="00935493">
        <w:rPr>
          <w:sz w:val="28"/>
        </w:rPr>
        <w:t xml:space="preserve">Do not use Tourney on </w:t>
      </w:r>
      <w:r w:rsidR="00935493" w:rsidRPr="00935493">
        <w:rPr>
          <w:i/>
          <w:sz w:val="28"/>
        </w:rPr>
        <w:t>Poa annua</w:t>
      </w:r>
      <w:r w:rsidR="00935493">
        <w:rPr>
          <w:sz w:val="28"/>
        </w:rPr>
        <w:t xml:space="preserve"> putting greens.   </w:t>
      </w:r>
      <w:r w:rsidR="00C81514">
        <w:rPr>
          <w:sz w:val="28"/>
        </w:rPr>
        <w:t>Of the fungicides listed for control of anthracnose</w:t>
      </w:r>
      <w:r w:rsidR="00935493">
        <w:rPr>
          <w:sz w:val="28"/>
        </w:rPr>
        <w:t xml:space="preserve">, Trinity has the most PGR effect.  Do not exceed the 1.0 fl. oz. rate.  If you have sensitive Poa annua, use Briskway.  </w:t>
      </w:r>
      <w:r w:rsidR="00C47087">
        <w:rPr>
          <w:sz w:val="28"/>
        </w:rPr>
        <w:t>But, b</w:t>
      </w:r>
      <w:r w:rsidR="00935493">
        <w:rPr>
          <w:sz w:val="28"/>
        </w:rPr>
        <w:t xml:space="preserve">e aware that Briskway also includes </w:t>
      </w:r>
      <w:r w:rsidR="00F07CE7">
        <w:rPr>
          <w:sz w:val="28"/>
        </w:rPr>
        <w:t xml:space="preserve">Heritage so be mindful of the number of applications of Heritage </w:t>
      </w:r>
      <w:r w:rsidR="00C47087">
        <w:rPr>
          <w:sz w:val="28"/>
        </w:rPr>
        <w:t xml:space="preserve">applied </w:t>
      </w:r>
      <w:r w:rsidR="00F07CE7">
        <w:rPr>
          <w:sz w:val="28"/>
        </w:rPr>
        <w:t>in a year</w:t>
      </w:r>
      <w:r w:rsidR="00C47087">
        <w:rPr>
          <w:sz w:val="28"/>
        </w:rPr>
        <w:t xml:space="preserve"> to avoid resistance</w:t>
      </w:r>
      <w:r w:rsidR="00F07CE7">
        <w:rPr>
          <w:sz w:val="28"/>
        </w:rPr>
        <w:t xml:space="preserve">.  </w:t>
      </w:r>
      <w:r w:rsidR="00C404CB">
        <w:rPr>
          <w:sz w:val="28"/>
        </w:rPr>
        <w:t xml:space="preserve">Lastly, </w:t>
      </w:r>
      <w:r w:rsidR="00C404CB" w:rsidRPr="00C404CB">
        <w:rPr>
          <w:sz w:val="28"/>
        </w:rPr>
        <w:t>b</w:t>
      </w:r>
      <w:r w:rsidR="00935493" w:rsidRPr="00C404CB">
        <w:rPr>
          <w:sz w:val="28"/>
        </w:rPr>
        <w:t xml:space="preserve">e careful applying Primo with DMI fungicides unless prior experience </w:t>
      </w:r>
      <w:r w:rsidR="00C404CB">
        <w:rPr>
          <w:sz w:val="28"/>
        </w:rPr>
        <w:t>has shown these to be safe.</w:t>
      </w:r>
    </w:p>
    <w:p w:rsidR="00C72FE7" w:rsidRDefault="00C72FE7" w:rsidP="00C72FE7">
      <w:pPr>
        <w:rPr>
          <w:b/>
          <w:sz w:val="28"/>
        </w:rPr>
      </w:pPr>
    </w:p>
    <w:p w:rsidR="00C72FE7" w:rsidRDefault="00C72FE7" w:rsidP="00C72FE7">
      <w:pPr>
        <w:rPr>
          <w:b/>
          <w:sz w:val="28"/>
        </w:rPr>
      </w:pPr>
    </w:p>
    <w:p w:rsidR="00C72FE7" w:rsidRPr="00C72FE7" w:rsidRDefault="00C72FE7" w:rsidP="00C72FE7">
      <w:pPr>
        <w:pStyle w:val="ListParagraph"/>
        <w:rPr>
          <w:sz w:val="28"/>
        </w:rPr>
      </w:pPr>
    </w:p>
    <w:sectPr w:rsidR="00C72FE7" w:rsidRPr="00C72FE7" w:rsidSect="00C568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4819"/>
    <w:multiLevelType w:val="hybridMultilevel"/>
    <w:tmpl w:val="8D8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9796D"/>
    <w:multiLevelType w:val="multilevel"/>
    <w:tmpl w:val="76E0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D4E9A"/>
    <w:multiLevelType w:val="hybridMultilevel"/>
    <w:tmpl w:val="56A0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3B75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 w15:restartNumberingAfterBreak="0">
    <w:nsid w:val="527936B4"/>
    <w:multiLevelType w:val="hybridMultilevel"/>
    <w:tmpl w:val="530A0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B5DD7"/>
    <w:multiLevelType w:val="hybridMultilevel"/>
    <w:tmpl w:val="C840F930"/>
    <w:lvl w:ilvl="0" w:tplc="035C1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107A"/>
    <w:multiLevelType w:val="multilevel"/>
    <w:tmpl w:val="8408B24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C7"/>
    <w:rsid w:val="000A33E8"/>
    <w:rsid w:val="0018790C"/>
    <w:rsid w:val="00195DA1"/>
    <w:rsid w:val="001B64E8"/>
    <w:rsid w:val="001D247E"/>
    <w:rsid w:val="00200341"/>
    <w:rsid w:val="002112AA"/>
    <w:rsid w:val="00225DE6"/>
    <w:rsid w:val="00264988"/>
    <w:rsid w:val="0028653A"/>
    <w:rsid w:val="002874A5"/>
    <w:rsid w:val="002C0AB1"/>
    <w:rsid w:val="003267E8"/>
    <w:rsid w:val="00332CBF"/>
    <w:rsid w:val="003B4E85"/>
    <w:rsid w:val="003C6083"/>
    <w:rsid w:val="003D192C"/>
    <w:rsid w:val="003E2000"/>
    <w:rsid w:val="003E2275"/>
    <w:rsid w:val="004502E7"/>
    <w:rsid w:val="00535ADA"/>
    <w:rsid w:val="00556784"/>
    <w:rsid w:val="00580FCA"/>
    <w:rsid w:val="005F06C7"/>
    <w:rsid w:val="005F50BC"/>
    <w:rsid w:val="006049DB"/>
    <w:rsid w:val="00707D13"/>
    <w:rsid w:val="00742747"/>
    <w:rsid w:val="00757520"/>
    <w:rsid w:val="0076390F"/>
    <w:rsid w:val="007B5195"/>
    <w:rsid w:val="007B654E"/>
    <w:rsid w:val="00800531"/>
    <w:rsid w:val="00837644"/>
    <w:rsid w:val="008A231F"/>
    <w:rsid w:val="008C5380"/>
    <w:rsid w:val="00925A7D"/>
    <w:rsid w:val="00935493"/>
    <w:rsid w:val="0095154E"/>
    <w:rsid w:val="009C110B"/>
    <w:rsid w:val="00A330A2"/>
    <w:rsid w:val="00A411FE"/>
    <w:rsid w:val="00A80177"/>
    <w:rsid w:val="00A9056A"/>
    <w:rsid w:val="00AC790F"/>
    <w:rsid w:val="00B01CB0"/>
    <w:rsid w:val="00B03489"/>
    <w:rsid w:val="00B1043A"/>
    <w:rsid w:val="00B40246"/>
    <w:rsid w:val="00B6170D"/>
    <w:rsid w:val="00B61AB9"/>
    <w:rsid w:val="00C36CCE"/>
    <w:rsid w:val="00C404CB"/>
    <w:rsid w:val="00C47087"/>
    <w:rsid w:val="00C56844"/>
    <w:rsid w:val="00C56BF2"/>
    <w:rsid w:val="00C72FE7"/>
    <w:rsid w:val="00C81514"/>
    <w:rsid w:val="00CF2B4B"/>
    <w:rsid w:val="00D00F26"/>
    <w:rsid w:val="00D53429"/>
    <w:rsid w:val="00D82693"/>
    <w:rsid w:val="00D91A6E"/>
    <w:rsid w:val="00DD75C3"/>
    <w:rsid w:val="00DE04AE"/>
    <w:rsid w:val="00DF60E6"/>
    <w:rsid w:val="00E37E5B"/>
    <w:rsid w:val="00E4448C"/>
    <w:rsid w:val="00E635F6"/>
    <w:rsid w:val="00EE33E8"/>
    <w:rsid w:val="00F069F0"/>
    <w:rsid w:val="00F0722D"/>
    <w:rsid w:val="00F07CE7"/>
    <w:rsid w:val="00F60686"/>
    <w:rsid w:val="00F643C8"/>
    <w:rsid w:val="00F71D81"/>
    <w:rsid w:val="00F95B19"/>
    <w:rsid w:val="00FD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307D6-E341-4CB9-B3FD-E7031094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6C7"/>
    <w:pPr>
      <w:ind w:left="720"/>
      <w:contextualSpacing/>
    </w:pPr>
  </w:style>
  <w:style w:type="table" w:styleId="TableGrid">
    <w:name w:val="Table Grid"/>
    <w:basedOn w:val="TableNormal"/>
    <w:uiPriority w:val="59"/>
    <w:rsid w:val="0033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McDonald</dc:creator>
  <cp:lastModifiedBy>Brian</cp:lastModifiedBy>
  <cp:revision>24</cp:revision>
  <cp:lastPrinted>2011-09-15T05:12:00Z</cp:lastPrinted>
  <dcterms:created xsi:type="dcterms:W3CDTF">2019-02-27T02:39:00Z</dcterms:created>
  <dcterms:modified xsi:type="dcterms:W3CDTF">2019-02-27T03:47:00Z</dcterms:modified>
</cp:coreProperties>
</file>