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E51" w:rsidRPr="00824148" w:rsidRDefault="00623E51" w:rsidP="00623E51">
      <w:pPr>
        <w:jc w:val="center"/>
        <w:rPr>
          <w:b/>
          <w:sz w:val="32"/>
        </w:rPr>
      </w:pPr>
      <w:r w:rsidRPr="00824148">
        <w:rPr>
          <w:b/>
          <w:sz w:val="32"/>
        </w:rPr>
        <w:t>Oregon State University</w:t>
      </w:r>
    </w:p>
    <w:p w:rsidR="00623E51" w:rsidRPr="00824148" w:rsidRDefault="00623E51" w:rsidP="00623E51">
      <w:pPr>
        <w:jc w:val="center"/>
        <w:rPr>
          <w:b/>
          <w:sz w:val="32"/>
        </w:rPr>
      </w:pPr>
      <w:r w:rsidRPr="00824148">
        <w:rPr>
          <w:b/>
          <w:sz w:val="32"/>
        </w:rPr>
        <w:t>Microdochium Patch Control with Fungicides</w:t>
      </w:r>
    </w:p>
    <w:p w:rsidR="00623E51" w:rsidRDefault="00623E51" w:rsidP="00623E51">
      <w:pPr>
        <w:jc w:val="center"/>
        <w:rPr>
          <w:b/>
          <w:sz w:val="18"/>
        </w:rPr>
      </w:pPr>
      <w:r>
        <w:rPr>
          <w:b/>
          <w:sz w:val="18"/>
        </w:rPr>
        <w:t>(last updated: 02/26/19)</w:t>
      </w:r>
    </w:p>
    <w:p w:rsidR="00824148" w:rsidRPr="00824148" w:rsidRDefault="00824148" w:rsidP="00623E51">
      <w:pPr>
        <w:jc w:val="center"/>
        <w:rPr>
          <w:b/>
          <w:sz w:val="24"/>
        </w:rPr>
      </w:pPr>
      <w:r w:rsidRPr="00824148">
        <w:rPr>
          <w:b/>
          <w:sz w:val="24"/>
        </w:rPr>
        <w:t>Brian McDonald, Senior Research Assistant</w:t>
      </w:r>
    </w:p>
    <w:p w:rsidR="00824148" w:rsidRPr="00824148" w:rsidRDefault="00824148" w:rsidP="00623E51">
      <w:pPr>
        <w:jc w:val="center"/>
        <w:rPr>
          <w:b/>
          <w:sz w:val="24"/>
        </w:rPr>
      </w:pPr>
      <w:r w:rsidRPr="00824148">
        <w:rPr>
          <w:b/>
          <w:sz w:val="24"/>
        </w:rPr>
        <w:t>Alec Kowalewski, Assistant Professor</w:t>
      </w:r>
    </w:p>
    <w:p w:rsidR="00623E51" w:rsidRDefault="00623E51">
      <w:pPr>
        <w:rPr>
          <w:b/>
        </w:rPr>
      </w:pPr>
    </w:p>
    <w:p w:rsidR="000B5FA1" w:rsidRDefault="00824148">
      <w:pPr>
        <w:rPr>
          <w:b/>
        </w:rPr>
      </w:pPr>
      <w:r>
        <w:rPr>
          <w:b/>
        </w:rPr>
        <w:t>Based on our fungicide testing over the years, below is a</w:t>
      </w:r>
      <w:r w:rsidR="00623E51">
        <w:rPr>
          <w:b/>
        </w:rPr>
        <w:t xml:space="preserve"> list of the most effective </w:t>
      </w:r>
      <w:r>
        <w:rPr>
          <w:b/>
        </w:rPr>
        <w:t xml:space="preserve">fungicide </w:t>
      </w:r>
      <w:r w:rsidR="00623E51">
        <w:rPr>
          <w:b/>
        </w:rPr>
        <w:t>products for the control of Microdochium Patch not under snow cover.</w:t>
      </w:r>
      <w:r w:rsidR="007161ED">
        <w:rPr>
          <w:b/>
        </w:rPr>
        <w:t xml:space="preserve">   </w:t>
      </w:r>
      <w:r>
        <w:rPr>
          <w:b/>
        </w:rPr>
        <w:t xml:space="preserve">The order of application, rates, and timing can be changed to better suit your specific goals on your golf course and </w:t>
      </w:r>
      <w:r w:rsidR="002E3E8B">
        <w:rPr>
          <w:b/>
        </w:rPr>
        <w:t xml:space="preserve">to </w:t>
      </w:r>
      <w:r>
        <w:rPr>
          <w:b/>
        </w:rPr>
        <w:t>control other diseases that you might face.  For example, Headway controls Microdochium patch and yellow patch which we get reliably in the fall.  Or, if you get fairy ring</w:t>
      </w:r>
      <w:r w:rsidR="00B822CD">
        <w:rPr>
          <w:b/>
        </w:rPr>
        <w:t xml:space="preserve"> in the summer</w:t>
      </w:r>
      <w:r>
        <w:rPr>
          <w:b/>
        </w:rPr>
        <w:t xml:space="preserve">, you may want to apply Premion in April </w:t>
      </w:r>
      <w:r w:rsidR="00DF2B00">
        <w:rPr>
          <w:b/>
        </w:rPr>
        <w:t xml:space="preserve">as </w:t>
      </w:r>
      <w:r w:rsidR="00B822CD">
        <w:rPr>
          <w:b/>
        </w:rPr>
        <w:t xml:space="preserve">a preventative </w:t>
      </w:r>
      <w:r>
        <w:rPr>
          <w:b/>
        </w:rPr>
        <w:t xml:space="preserve">since it has both PCNB to control M. patch and </w:t>
      </w:r>
      <w:r w:rsidR="00DF2B00">
        <w:rPr>
          <w:b/>
        </w:rPr>
        <w:t>t</w:t>
      </w:r>
      <w:r>
        <w:rPr>
          <w:b/>
        </w:rPr>
        <w:t>ebuconazole to control fairy ring.</w:t>
      </w:r>
      <w:r w:rsidR="00ED53E4">
        <w:rPr>
          <w:b/>
        </w:rPr>
        <w:t xml:space="preserve">  Or as an alternative, you could add Prostar to Affirm to control both fairy ring and yellow patch in the spring.</w:t>
      </w:r>
    </w:p>
    <w:p w:rsidR="00812E20" w:rsidRDefault="00812E20" w:rsidP="00812E20">
      <w:pPr>
        <w:rPr>
          <w:b/>
        </w:rPr>
      </w:pPr>
      <w:r>
        <w:rPr>
          <w:b/>
        </w:rPr>
        <w:t xml:space="preserve">Example </w:t>
      </w:r>
      <w:r w:rsidRPr="00AA5885">
        <w:rPr>
          <w:b/>
        </w:rPr>
        <w:t xml:space="preserve">Fungicide Rotation </w:t>
      </w:r>
      <w:r>
        <w:rPr>
          <w:b/>
        </w:rPr>
        <w:t>to control</w:t>
      </w:r>
      <w:r w:rsidRPr="00AA5885">
        <w:rPr>
          <w:b/>
        </w:rPr>
        <w:t xml:space="preserve"> Microdochium Patch</w:t>
      </w:r>
      <w:r>
        <w:rPr>
          <w:b/>
        </w:rPr>
        <w:t xml:space="preserve"> on Annual Bluegrass Putting Greens in western Oregon, Washington, or Canada.</w:t>
      </w:r>
    </w:p>
    <w:p w:rsidR="00812E20" w:rsidRDefault="00812E20" w:rsidP="00812E20">
      <w:pPr>
        <w:rPr>
          <w:b/>
        </w:rPr>
      </w:pPr>
    </w:p>
    <w:tbl>
      <w:tblPr>
        <w:tblW w:w="9340" w:type="dxa"/>
        <w:tblInd w:w="108" w:type="dxa"/>
        <w:tblLook w:val="04A0" w:firstRow="1" w:lastRow="0" w:firstColumn="1" w:lastColumn="0" w:noHBand="0" w:noVBand="1"/>
      </w:tblPr>
      <w:tblGrid>
        <w:gridCol w:w="947"/>
        <w:gridCol w:w="2250"/>
        <w:gridCol w:w="1226"/>
        <w:gridCol w:w="3990"/>
        <w:gridCol w:w="927"/>
      </w:tblGrid>
      <w:tr w:rsidR="000B5FA1" w:rsidRPr="009A0743" w:rsidTr="00AA5885">
        <w:trPr>
          <w:trHeight w:val="620"/>
        </w:trPr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A1" w:rsidRPr="009A0743" w:rsidRDefault="000B5FA1" w:rsidP="0031739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</w:rPr>
            </w:pPr>
            <w:r w:rsidRPr="009A0743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</w:rPr>
              <w:t>Date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A1" w:rsidRPr="009A0743" w:rsidRDefault="000B5FA1" w:rsidP="0031739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</w:rPr>
            </w:pPr>
            <w:r w:rsidRPr="009A0743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</w:rPr>
              <w:t>Product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A1" w:rsidRPr="009A0743" w:rsidRDefault="000B5FA1" w:rsidP="0031739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</w:rPr>
            </w:pPr>
            <w:r w:rsidRPr="009A0743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</w:rPr>
              <w:t>Rate (oz./M)</w:t>
            </w:r>
          </w:p>
        </w:tc>
        <w:tc>
          <w:tcPr>
            <w:tcW w:w="39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FA1" w:rsidRPr="009A0743" w:rsidRDefault="000B5FA1" w:rsidP="0031739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</w:rPr>
            </w:pPr>
            <w:r w:rsidRPr="009A0743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</w:rPr>
              <w:t>Active Ingredients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FA1" w:rsidRPr="009A0743" w:rsidRDefault="000B5FA1" w:rsidP="0031739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</w:rPr>
            </w:pPr>
            <w:r w:rsidRPr="009A0743">
              <w:rPr>
                <w:rFonts w:ascii="Calibri" w:eastAsia="Times New Roman" w:hAnsi="Calibri"/>
                <w:b/>
                <w:bCs/>
                <w:color w:val="000000"/>
                <w:sz w:val="21"/>
                <w:szCs w:val="21"/>
              </w:rPr>
              <w:t>Group</w:t>
            </w:r>
          </w:p>
        </w:tc>
      </w:tr>
      <w:tr w:rsidR="000B5FA1" w:rsidRPr="009A0743" w:rsidTr="00AA5885">
        <w:trPr>
          <w:trHeight w:val="320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B5FA1" w:rsidRPr="009A0743" w:rsidRDefault="000B5FA1" w:rsidP="0031739C">
            <w:pPr>
              <w:jc w:val="center"/>
              <w:rPr>
                <w:rFonts w:ascii="Calibri" w:eastAsia="Times New Roman" w:hAnsi="Calibri"/>
                <w:color w:val="000000"/>
                <w:sz w:val="21"/>
                <w:szCs w:val="21"/>
              </w:rPr>
            </w:pPr>
            <w:r w:rsidRPr="009A0743">
              <w:rPr>
                <w:rFonts w:ascii="Calibri" w:eastAsia="Times New Roman" w:hAnsi="Calibri"/>
                <w:color w:val="000000"/>
                <w:sz w:val="21"/>
                <w:szCs w:val="21"/>
              </w:rPr>
              <w:t>Sep. 15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B5FA1" w:rsidRPr="009A0743" w:rsidRDefault="000B5FA1" w:rsidP="0031739C">
            <w:pPr>
              <w:jc w:val="center"/>
              <w:rPr>
                <w:rFonts w:ascii="Calibri" w:eastAsia="Times New Roman" w:hAnsi="Calibri"/>
                <w:color w:val="000000"/>
                <w:sz w:val="21"/>
                <w:szCs w:val="21"/>
              </w:rPr>
            </w:pPr>
            <w:r w:rsidRPr="009A0743">
              <w:rPr>
                <w:rFonts w:ascii="Calibri" w:eastAsia="Times New Roman" w:hAnsi="Calibri"/>
                <w:color w:val="000000"/>
                <w:sz w:val="21"/>
                <w:szCs w:val="21"/>
              </w:rPr>
              <w:t>Headway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B5FA1" w:rsidRPr="009A0743" w:rsidRDefault="000B5FA1" w:rsidP="0031739C">
            <w:pPr>
              <w:jc w:val="center"/>
              <w:rPr>
                <w:rFonts w:ascii="Calibri" w:eastAsia="Times New Roman" w:hAnsi="Calibri"/>
                <w:color w:val="000000"/>
                <w:sz w:val="21"/>
                <w:szCs w:val="21"/>
              </w:rPr>
            </w:pPr>
            <w:r w:rsidRPr="009A0743">
              <w:rPr>
                <w:rFonts w:ascii="Calibri" w:eastAsia="Times New Roman" w:hAnsi="Calibri"/>
                <w:color w:val="000000"/>
                <w:sz w:val="21"/>
                <w:szCs w:val="21"/>
              </w:rPr>
              <w:t>3</w:t>
            </w:r>
            <w:r>
              <w:rPr>
                <w:rFonts w:ascii="Calibri" w:eastAsia="Times New Roman" w:hAnsi="Calibri"/>
                <w:color w:val="000000"/>
                <w:sz w:val="21"/>
                <w:szCs w:val="21"/>
              </w:rPr>
              <w:t>.0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0B5FA1" w:rsidRPr="009A0743" w:rsidRDefault="000B5FA1" w:rsidP="0031739C">
            <w:pPr>
              <w:jc w:val="center"/>
              <w:rPr>
                <w:rFonts w:ascii="Calibri" w:eastAsia="Times New Roman" w:hAnsi="Calibri"/>
                <w:color w:val="000000"/>
                <w:sz w:val="21"/>
                <w:szCs w:val="21"/>
              </w:rPr>
            </w:pPr>
            <w:r w:rsidRPr="009A0743">
              <w:rPr>
                <w:rFonts w:ascii="Calibri" w:eastAsia="Times New Roman" w:hAnsi="Calibri"/>
                <w:color w:val="000000"/>
                <w:sz w:val="21"/>
                <w:szCs w:val="21"/>
              </w:rPr>
              <w:t>Propiconazole + Azoxystrobin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0B5FA1" w:rsidRPr="009A0743" w:rsidRDefault="000B5FA1" w:rsidP="0031739C">
            <w:pPr>
              <w:jc w:val="center"/>
              <w:rPr>
                <w:rFonts w:ascii="Calibri" w:eastAsia="Times New Roman" w:hAnsi="Calibri"/>
                <w:color w:val="000000"/>
                <w:sz w:val="21"/>
                <w:szCs w:val="21"/>
              </w:rPr>
            </w:pPr>
            <w:r w:rsidRPr="009A0743">
              <w:rPr>
                <w:rFonts w:ascii="Calibri" w:eastAsia="Times New Roman" w:hAnsi="Calibri"/>
                <w:color w:val="000000"/>
                <w:sz w:val="21"/>
                <w:szCs w:val="21"/>
              </w:rPr>
              <w:t>3,11</w:t>
            </w:r>
          </w:p>
        </w:tc>
      </w:tr>
      <w:tr w:rsidR="000B5FA1" w:rsidRPr="009A0743" w:rsidTr="00AA5885">
        <w:trPr>
          <w:trHeight w:val="320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A1" w:rsidRPr="009A0743" w:rsidRDefault="000B5FA1" w:rsidP="0031739C">
            <w:pPr>
              <w:jc w:val="center"/>
              <w:rPr>
                <w:rFonts w:ascii="Calibri" w:eastAsia="Times New Roman" w:hAnsi="Calibri"/>
                <w:color w:val="000000"/>
                <w:sz w:val="21"/>
                <w:szCs w:val="21"/>
              </w:rPr>
            </w:pPr>
            <w:r w:rsidRPr="009A0743">
              <w:rPr>
                <w:rFonts w:ascii="Calibri" w:eastAsia="Times New Roman" w:hAnsi="Calibri"/>
                <w:color w:val="000000"/>
                <w:sz w:val="21"/>
                <w:szCs w:val="21"/>
              </w:rPr>
              <w:t>Oct. 15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A1" w:rsidRPr="009A0743" w:rsidRDefault="000B5FA1" w:rsidP="0031739C">
            <w:pPr>
              <w:jc w:val="center"/>
              <w:rPr>
                <w:rFonts w:ascii="Calibri" w:eastAsia="Times New Roman" w:hAnsi="Calibri"/>
                <w:color w:val="000000"/>
                <w:sz w:val="21"/>
                <w:szCs w:val="21"/>
              </w:rPr>
            </w:pPr>
            <w:r w:rsidRPr="009A0743">
              <w:rPr>
                <w:rFonts w:ascii="Calibri" w:eastAsia="Times New Roman" w:hAnsi="Calibri"/>
                <w:color w:val="000000"/>
                <w:sz w:val="21"/>
                <w:szCs w:val="21"/>
              </w:rPr>
              <w:t>Turfcide 400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A1" w:rsidRPr="009A0743" w:rsidRDefault="000B5FA1" w:rsidP="0031739C">
            <w:pPr>
              <w:jc w:val="center"/>
              <w:rPr>
                <w:rFonts w:ascii="Calibri" w:eastAsia="Times New Roman" w:hAnsi="Calibri"/>
                <w:color w:val="000000"/>
                <w:sz w:val="21"/>
                <w:szCs w:val="21"/>
              </w:rPr>
            </w:pPr>
            <w:r w:rsidRPr="009A0743">
              <w:rPr>
                <w:rFonts w:ascii="Calibri" w:eastAsia="Times New Roman" w:hAnsi="Calibri"/>
                <w:color w:val="000000"/>
                <w:sz w:val="21"/>
                <w:szCs w:val="21"/>
              </w:rPr>
              <w:t>8</w:t>
            </w:r>
            <w:r>
              <w:rPr>
                <w:rFonts w:ascii="Calibri" w:eastAsia="Times New Roman" w:hAnsi="Calibri"/>
                <w:color w:val="000000"/>
                <w:sz w:val="21"/>
                <w:szCs w:val="21"/>
              </w:rPr>
              <w:t>.0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FA1" w:rsidRPr="009A0743" w:rsidRDefault="000B5FA1" w:rsidP="0031739C">
            <w:pPr>
              <w:jc w:val="center"/>
              <w:rPr>
                <w:rFonts w:ascii="Calibri" w:eastAsia="Times New Roman" w:hAnsi="Calibri"/>
                <w:color w:val="000000"/>
                <w:sz w:val="21"/>
                <w:szCs w:val="21"/>
              </w:rPr>
            </w:pPr>
            <w:r w:rsidRPr="009A0743">
              <w:rPr>
                <w:rFonts w:ascii="Calibri" w:eastAsia="Times New Roman" w:hAnsi="Calibri"/>
                <w:color w:val="000000"/>
                <w:sz w:val="21"/>
                <w:szCs w:val="21"/>
              </w:rPr>
              <w:t>PCNB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FA1" w:rsidRPr="009A0743" w:rsidRDefault="000B5FA1" w:rsidP="0031739C">
            <w:pPr>
              <w:jc w:val="center"/>
              <w:rPr>
                <w:rFonts w:ascii="Calibri" w:eastAsia="Times New Roman" w:hAnsi="Calibri"/>
                <w:color w:val="000000"/>
                <w:sz w:val="21"/>
                <w:szCs w:val="21"/>
              </w:rPr>
            </w:pPr>
            <w:r w:rsidRPr="009A0743">
              <w:rPr>
                <w:rFonts w:ascii="Calibri" w:eastAsia="Times New Roman" w:hAnsi="Calibri"/>
                <w:color w:val="000000"/>
                <w:sz w:val="21"/>
                <w:szCs w:val="21"/>
              </w:rPr>
              <w:t>14</w:t>
            </w:r>
          </w:p>
        </w:tc>
      </w:tr>
      <w:tr w:rsidR="000B5FA1" w:rsidRPr="009A0743" w:rsidTr="00AA5885">
        <w:trPr>
          <w:trHeight w:val="320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B5FA1" w:rsidRPr="009A0743" w:rsidRDefault="000B5FA1" w:rsidP="0031739C">
            <w:pPr>
              <w:jc w:val="center"/>
              <w:rPr>
                <w:rFonts w:ascii="Calibri" w:eastAsia="Times New Roman" w:hAnsi="Calibri"/>
                <w:color w:val="000000"/>
                <w:sz w:val="21"/>
                <w:szCs w:val="21"/>
              </w:rPr>
            </w:pPr>
            <w:r w:rsidRPr="009A0743">
              <w:rPr>
                <w:rFonts w:ascii="Calibri" w:eastAsia="Times New Roman" w:hAnsi="Calibri"/>
                <w:color w:val="000000"/>
                <w:sz w:val="21"/>
                <w:szCs w:val="21"/>
              </w:rPr>
              <w:t>Nov. 15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B5FA1" w:rsidRPr="009A0743" w:rsidRDefault="000B5FA1" w:rsidP="0031739C">
            <w:pPr>
              <w:jc w:val="center"/>
              <w:rPr>
                <w:rFonts w:ascii="Calibri" w:eastAsia="Times New Roman" w:hAnsi="Calibri"/>
                <w:color w:val="000000"/>
                <w:sz w:val="21"/>
                <w:szCs w:val="21"/>
              </w:rPr>
            </w:pPr>
            <w:r w:rsidRPr="009A0743">
              <w:rPr>
                <w:rFonts w:ascii="Calibri" w:eastAsia="Times New Roman" w:hAnsi="Calibri"/>
                <w:color w:val="000000"/>
                <w:sz w:val="21"/>
                <w:szCs w:val="21"/>
              </w:rPr>
              <w:t>Instrata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B5FA1" w:rsidRPr="009A0743" w:rsidRDefault="000B5FA1" w:rsidP="0031739C">
            <w:pPr>
              <w:jc w:val="center"/>
              <w:rPr>
                <w:rFonts w:ascii="Calibri" w:eastAsia="Times New Roman" w:hAnsi="Calibri"/>
                <w:color w:val="000000"/>
                <w:sz w:val="21"/>
                <w:szCs w:val="21"/>
              </w:rPr>
            </w:pPr>
            <w:r w:rsidRPr="009A0743">
              <w:rPr>
                <w:rFonts w:ascii="Calibri" w:eastAsia="Times New Roman" w:hAnsi="Calibri"/>
                <w:color w:val="000000"/>
                <w:sz w:val="21"/>
                <w:szCs w:val="21"/>
              </w:rPr>
              <w:t>7</w:t>
            </w:r>
            <w:r>
              <w:rPr>
                <w:rFonts w:ascii="Calibri" w:eastAsia="Times New Roman" w:hAnsi="Calibri"/>
                <w:color w:val="000000"/>
                <w:sz w:val="21"/>
                <w:szCs w:val="21"/>
              </w:rPr>
              <w:t>.0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0B5FA1" w:rsidRPr="009A0743" w:rsidRDefault="000B5FA1" w:rsidP="0031739C">
            <w:pPr>
              <w:jc w:val="center"/>
              <w:rPr>
                <w:rFonts w:ascii="Calibri" w:eastAsia="Times New Roman" w:hAnsi="Calibri"/>
                <w:color w:val="000000"/>
                <w:sz w:val="21"/>
                <w:szCs w:val="21"/>
              </w:rPr>
            </w:pPr>
            <w:r w:rsidRPr="009A0743">
              <w:rPr>
                <w:rFonts w:ascii="Calibri" w:eastAsia="Times New Roman" w:hAnsi="Calibri"/>
                <w:color w:val="000000"/>
                <w:sz w:val="21"/>
                <w:szCs w:val="21"/>
              </w:rPr>
              <w:t>Chlorothalonil + Propiconazole + Fludioxonil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0B5FA1" w:rsidRPr="009A0743" w:rsidRDefault="000B5FA1" w:rsidP="0031739C">
            <w:pPr>
              <w:jc w:val="center"/>
              <w:rPr>
                <w:rFonts w:ascii="Calibri" w:eastAsia="Times New Roman" w:hAnsi="Calibri"/>
                <w:color w:val="000000"/>
                <w:sz w:val="21"/>
                <w:szCs w:val="21"/>
              </w:rPr>
            </w:pPr>
            <w:r w:rsidRPr="009A0743">
              <w:rPr>
                <w:rFonts w:ascii="Calibri" w:eastAsia="Times New Roman" w:hAnsi="Calibri"/>
                <w:color w:val="000000"/>
                <w:sz w:val="21"/>
                <w:szCs w:val="21"/>
              </w:rPr>
              <w:t>12,3,M</w:t>
            </w:r>
          </w:p>
        </w:tc>
      </w:tr>
      <w:tr w:rsidR="00AA5885" w:rsidRPr="009A0743" w:rsidTr="00AA5885">
        <w:trPr>
          <w:trHeight w:val="320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85" w:rsidRPr="009A0743" w:rsidRDefault="00AA5885" w:rsidP="00AA5885">
            <w:pPr>
              <w:jc w:val="center"/>
              <w:rPr>
                <w:rFonts w:ascii="Calibri" w:eastAsia="Times New Roman" w:hAnsi="Calibri"/>
                <w:color w:val="000000"/>
                <w:sz w:val="21"/>
                <w:szCs w:val="21"/>
              </w:rPr>
            </w:pPr>
            <w:r w:rsidRPr="009A0743">
              <w:rPr>
                <w:rFonts w:ascii="Calibri" w:eastAsia="Times New Roman" w:hAnsi="Calibri"/>
                <w:color w:val="000000"/>
                <w:sz w:val="21"/>
                <w:szCs w:val="21"/>
              </w:rPr>
              <w:t>Dec. 15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85" w:rsidRPr="009A0743" w:rsidRDefault="00AA5885" w:rsidP="00AA5885">
            <w:pPr>
              <w:jc w:val="center"/>
              <w:rPr>
                <w:rFonts w:ascii="Calibri" w:eastAsia="Times New Roman" w:hAnsi="Calibri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/>
                <w:color w:val="000000"/>
                <w:sz w:val="21"/>
                <w:szCs w:val="21"/>
              </w:rPr>
              <w:t>Contend 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85" w:rsidRPr="009A0743" w:rsidRDefault="00AA5885" w:rsidP="00AA5885">
            <w:pPr>
              <w:jc w:val="center"/>
              <w:rPr>
                <w:rFonts w:ascii="Calibri" w:eastAsia="Times New Roman" w:hAnsi="Calibri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/>
                <w:color w:val="000000"/>
                <w:sz w:val="21"/>
                <w:szCs w:val="21"/>
              </w:rPr>
              <w:t>1.0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885" w:rsidRPr="009A0743" w:rsidRDefault="004300CE" w:rsidP="00AA5885">
            <w:pPr>
              <w:jc w:val="center"/>
              <w:rPr>
                <w:rFonts w:ascii="Calibri" w:eastAsia="Times New Roman" w:hAnsi="Calibri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/>
                <w:color w:val="000000"/>
                <w:sz w:val="21"/>
                <w:szCs w:val="21"/>
              </w:rPr>
              <w:t>Benzovinduiflupyr (SDHI)</w:t>
            </w:r>
            <w:r w:rsidR="00B67E09">
              <w:rPr>
                <w:rFonts w:ascii="Calibri" w:eastAsia="Times New Roman" w:hAnsi="Calibri"/>
                <w:color w:val="000000"/>
                <w:sz w:val="21"/>
                <w:szCs w:val="21"/>
              </w:rPr>
              <w:t xml:space="preserve"> </w:t>
            </w:r>
            <w:bookmarkStart w:id="0" w:name="_GoBack"/>
            <w:bookmarkEnd w:id="0"/>
            <w:r w:rsidR="00AA5885">
              <w:rPr>
                <w:rFonts w:ascii="Calibri" w:eastAsia="Times New Roman" w:hAnsi="Calibri"/>
                <w:color w:val="000000"/>
                <w:sz w:val="21"/>
                <w:szCs w:val="21"/>
              </w:rPr>
              <w:t>+ Difenoconazole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885" w:rsidRPr="009A0743" w:rsidRDefault="00AA5885" w:rsidP="00AA5885">
            <w:pPr>
              <w:jc w:val="center"/>
              <w:rPr>
                <w:rFonts w:ascii="Calibri" w:eastAsia="Times New Roman" w:hAnsi="Calibri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/>
                <w:color w:val="000000"/>
                <w:sz w:val="21"/>
                <w:szCs w:val="21"/>
              </w:rPr>
              <w:t>7,3</w:t>
            </w:r>
          </w:p>
        </w:tc>
      </w:tr>
      <w:tr w:rsidR="000B5FA1" w:rsidRPr="009A0743" w:rsidTr="00AA5885">
        <w:trPr>
          <w:trHeight w:val="320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B5FA1" w:rsidRPr="009A0743" w:rsidRDefault="000B5FA1" w:rsidP="0031739C">
            <w:pPr>
              <w:jc w:val="center"/>
              <w:rPr>
                <w:rFonts w:ascii="Calibri" w:eastAsia="Times New Roman" w:hAnsi="Calibri"/>
                <w:color w:val="000000"/>
                <w:sz w:val="21"/>
                <w:szCs w:val="21"/>
              </w:rPr>
            </w:pPr>
            <w:r w:rsidRPr="009A0743">
              <w:rPr>
                <w:rFonts w:ascii="Calibri" w:eastAsia="Times New Roman" w:hAnsi="Calibri"/>
                <w:color w:val="000000"/>
                <w:sz w:val="21"/>
                <w:szCs w:val="21"/>
              </w:rPr>
              <w:t>Jan. 15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B5FA1" w:rsidRPr="009A0743" w:rsidRDefault="000B5FA1" w:rsidP="0031739C">
            <w:pPr>
              <w:jc w:val="center"/>
              <w:rPr>
                <w:rFonts w:ascii="Calibri" w:eastAsia="Times New Roman" w:hAnsi="Calibri"/>
                <w:color w:val="000000"/>
                <w:sz w:val="21"/>
                <w:szCs w:val="21"/>
              </w:rPr>
            </w:pPr>
            <w:r w:rsidRPr="009A0743">
              <w:rPr>
                <w:rFonts w:ascii="Calibri" w:eastAsia="Times New Roman" w:hAnsi="Calibri"/>
                <w:color w:val="000000"/>
                <w:sz w:val="21"/>
                <w:szCs w:val="21"/>
              </w:rPr>
              <w:t>Turfcide 400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B5FA1" w:rsidRPr="009A0743" w:rsidRDefault="000B5FA1" w:rsidP="0031739C">
            <w:pPr>
              <w:jc w:val="center"/>
              <w:rPr>
                <w:rFonts w:ascii="Calibri" w:eastAsia="Times New Roman" w:hAnsi="Calibri"/>
                <w:color w:val="000000"/>
                <w:sz w:val="21"/>
                <w:szCs w:val="21"/>
              </w:rPr>
            </w:pPr>
            <w:r w:rsidRPr="009A0743">
              <w:rPr>
                <w:rFonts w:ascii="Calibri" w:eastAsia="Times New Roman" w:hAnsi="Calibri"/>
                <w:color w:val="000000"/>
                <w:sz w:val="21"/>
                <w:szCs w:val="21"/>
              </w:rPr>
              <w:t>8</w:t>
            </w:r>
            <w:r>
              <w:rPr>
                <w:rFonts w:ascii="Calibri" w:eastAsia="Times New Roman" w:hAnsi="Calibri"/>
                <w:color w:val="000000"/>
                <w:sz w:val="21"/>
                <w:szCs w:val="21"/>
              </w:rPr>
              <w:t>.0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0B5FA1" w:rsidRPr="009A0743" w:rsidRDefault="000B5FA1" w:rsidP="0031739C">
            <w:pPr>
              <w:jc w:val="center"/>
              <w:rPr>
                <w:rFonts w:ascii="Calibri" w:eastAsia="Times New Roman" w:hAnsi="Calibri"/>
                <w:color w:val="000000"/>
                <w:sz w:val="21"/>
                <w:szCs w:val="21"/>
              </w:rPr>
            </w:pPr>
            <w:r w:rsidRPr="009A0743">
              <w:rPr>
                <w:rFonts w:ascii="Calibri" w:eastAsia="Times New Roman" w:hAnsi="Calibri"/>
                <w:color w:val="000000"/>
                <w:sz w:val="21"/>
                <w:szCs w:val="21"/>
              </w:rPr>
              <w:t>PCNB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0B5FA1" w:rsidRPr="009A0743" w:rsidRDefault="000B5FA1" w:rsidP="0031739C">
            <w:pPr>
              <w:jc w:val="center"/>
              <w:rPr>
                <w:rFonts w:ascii="Calibri" w:eastAsia="Times New Roman" w:hAnsi="Calibri"/>
                <w:color w:val="000000"/>
                <w:sz w:val="21"/>
                <w:szCs w:val="21"/>
              </w:rPr>
            </w:pPr>
            <w:r w:rsidRPr="009A0743">
              <w:rPr>
                <w:rFonts w:ascii="Calibri" w:eastAsia="Times New Roman" w:hAnsi="Calibri"/>
                <w:color w:val="000000"/>
                <w:sz w:val="21"/>
                <w:szCs w:val="21"/>
              </w:rPr>
              <w:t>14</w:t>
            </w:r>
          </w:p>
        </w:tc>
      </w:tr>
      <w:tr w:rsidR="000B5FA1" w:rsidRPr="009A0743" w:rsidTr="00AA5885">
        <w:trPr>
          <w:trHeight w:val="320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A1" w:rsidRPr="009A0743" w:rsidRDefault="000B5FA1" w:rsidP="0031739C">
            <w:pPr>
              <w:jc w:val="center"/>
              <w:rPr>
                <w:rFonts w:ascii="Calibri" w:eastAsia="Times New Roman" w:hAnsi="Calibri"/>
                <w:color w:val="000000"/>
                <w:sz w:val="21"/>
                <w:szCs w:val="21"/>
              </w:rPr>
            </w:pPr>
            <w:r w:rsidRPr="009A0743">
              <w:rPr>
                <w:rFonts w:ascii="Calibri" w:eastAsia="Times New Roman" w:hAnsi="Calibri"/>
                <w:color w:val="000000"/>
                <w:sz w:val="21"/>
                <w:szCs w:val="21"/>
              </w:rPr>
              <w:t>Feb. 15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A1" w:rsidRPr="009A0743" w:rsidRDefault="000B5FA1" w:rsidP="0031739C">
            <w:pPr>
              <w:jc w:val="center"/>
              <w:rPr>
                <w:rFonts w:ascii="Calibri" w:eastAsia="Times New Roman" w:hAnsi="Calibri"/>
                <w:color w:val="000000"/>
                <w:sz w:val="21"/>
                <w:szCs w:val="21"/>
              </w:rPr>
            </w:pPr>
            <w:r w:rsidRPr="009A0743">
              <w:rPr>
                <w:rFonts w:ascii="Calibri" w:eastAsia="Times New Roman" w:hAnsi="Calibri"/>
                <w:color w:val="000000"/>
                <w:sz w:val="21"/>
                <w:szCs w:val="21"/>
              </w:rPr>
              <w:t>Instrata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A1" w:rsidRPr="009A0743" w:rsidRDefault="000B5FA1" w:rsidP="0031739C">
            <w:pPr>
              <w:jc w:val="center"/>
              <w:rPr>
                <w:rFonts w:ascii="Calibri" w:eastAsia="Times New Roman" w:hAnsi="Calibri"/>
                <w:color w:val="000000"/>
                <w:sz w:val="21"/>
                <w:szCs w:val="21"/>
              </w:rPr>
            </w:pPr>
            <w:r w:rsidRPr="009A0743">
              <w:rPr>
                <w:rFonts w:ascii="Calibri" w:eastAsia="Times New Roman" w:hAnsi="Calibri"/>
                <w:color w:val="000000"/>
                <w:sz w:val="21"/>
                <w:szCs w:val="21"/>
              </w:rPr>
              <w:t>7</w:t>
            </w:r>
            <w:r>
              <w:rPr>
                <w:rFonts w:ascii="Calibri" w:eastAsia="Times New Roman" w:hAnsi="Calibri"/>
                <w:color w:val="000000"/>
                <w:sz w:val="21"/>
                <w:szCs w:val="21"/>
              </w:rPr>
              <w:t>.0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FA1" w:rsidRPr="009A0743" w:rsidRDefault="000B5FA1" w:rsidP="0031739C">
            <w:pPr>
              <w:jc w:val="center"/>
              <w:rPr>
                <w:rFonts w:ascii="Calibri" w:eastAsia="Times New Roman" w:hAnsi="Calibri"/>
                <w:color w:val="000000"/>
                <w:sz w:val="21"/>
                <w:szCs w:val="21"/>
              </w:rPr>
            </w:pPr>
            <w:r w:rsidRPr="009A0743">
              <w:rPr>
                <w:rFonts w:ascii="Calibri" w:eastAsia="Times New Roman" w:hAnsi="Calibri"/>
                <w:color w:val="000000"/>
                <w:sz w:val="21"/>
                <w:szCs w:val="21"/>
              </w:rPr>
              <w:t>Chlorothalonil + Propiconazole + Fludioxonil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FA1" w:rsidRPr="009A0743" w:rsidRDefault="000B5FA1" w:rsidP="0031739C">
            <w:pPr>
              <w:jc w:val="center"/>
              <w:rPr>
                <w:rFonts w:ascii="Calibri" w:eastAsia="Times New Roman" w:hAnsi="Calibri"/>
                <w:color w:val="000000"/>
                <w:sz w:val="21"/>
                <w:szCs w:val="21"/>
              </w:rPr>
            </w:pPr>
            <w:r w:rsidRPr="009A0743">
              <w:rPr>
                <w:rFonts w:ascii="Calibri" w:eastAsia="Times New Roman" w:hAnsi="Calibri"/>
                <w:color w:val="000000"/>
                <w:sz w:val="21"/>
                <w:szCs w:val="21"/>
              </w:rPr>
              <w:t>12,3,M</w:t>
            </w:r>
          </w:p>
        </w:tc>
      </w:tr>
      <w:tr w:rsidR="000B5FA1" w:rsidRPr="009A0743" w:rsidTr="00AA5885">
        <w:trPr>
          <w:trHeight w:val="320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B5FA1" w:rsidRPr="009A0743" w:rsidRDefault="000B5FA1" w:rsidP="0031739C">
            <w:pPr>
              <w:jc w:val="center"/>
              <w:rPr>
                <w:rFonts w:ascii="Calibri" w:eastAsia="Times New Roman" w:hAnsi="Calibri"/>
                <w:color w:val="000000"/>
                <w:sz w:val="21"/>
                <w:szCs w:val="21"/>
              </w:rPr>
            </w:pPr>
            <w:r w:rsidRPr="009A0743">
              <w:rPr>
                <w:rFonts w:ascii="Calibri" w:eastAsia="Times New Roman" w:hAnsi="Calibri"/>
                <w:color w:val="000000"/>
                <w:sz w:val="21"/>
                <w:szCs w:val="21"/>
              </w:rPr>
              <w:t>Mar. 15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A5885" w:rsidRPr="009A0743" w:rsidRDefault="000B5FA1" w:rsidP="00AA5885">
            <w:pPr>
              <w:jc w:val="center"/>
              <w:rPr>
                <w:rFonts w:ascii="Calibri" w:eastAsia="Times New Roman" w:hAnsi="Calibri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/>
                <w:color w:val="000000"/>
                <w:sz w:val="21"/>
                <w:szCs w:val="21"/>
              </w:rPr>
              <w:t>Interface</w:t>
            </w:r>
            <w:r w:rsidR="00AA5885">
              <w:rPr>
                <w:rFonts w:ascii="Calibri" w:eastAsia="Times New Roman" w:hAnsi="Calibri"/>
                <w:color w:val="000000"/>
                <w:sz w:val="21"/>
                <w:szCs w:val="21"/>
              </w:rPr>
              <w:t xml:space="preserve"> + FORE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B5FA1" w:rsidRPr="009A0743" w:rsidRDefault="000B5FA1" w:rsidP="0031739C">
            <w:pPr>
              <w:jc w:val="center"/>
              <w:rPr>
                <w:rFonts w:ascii="Calibri" w:eastAsia="Times New Roman" w:hAnsi="Calibri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/>
                <w:color w:val="000000"/>
                <w:sz w:val="21"/>
                <w:szCs w:val="21"/>
              </w:rPr>
              <w:t>5.0</w:t>
            </w:r>
            <w:r w:rsidR="00AA5885">
              <w:rPr>
                <w:rFonts w:ascii="Calibri" w:eastAsia="Times New Roman" w:hAnsi="Calibri"/>
                <w:color w:val="000000"/>
                <w:sz w:val="21"/>
                <w:szCs w:val="21"/>
              </w:rPr>
              <w:t xml:space="preserve"> + 8.0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0B5FA1" w:rsidRPr="009A0743" w:rsidRDefault="000B5FA1" w:rsidP="0031739C">
            <w:pPr>
              <w:jc w:val="center"/>
              <w:rPr>
                <w:rFonts w:ascii="Calibri" w:eastAsia="Times New Roman" w:hAnsi="Calibri"/>
                <w:color w:val="000000"/>
                <w:sz w:val="21"/>
                <w:szCs w:val="21"/>
              </w:rPr>
            </w:pPr>
            <w:r w:rsidRPr="009A0743">
              <w:rPr>
                <w:rFonts w:ascii="Calibri" w:eastAsia="Times New Roman" w:hAnsi="Calibri"/>
                <w:color w:val="000000"/>
                <w:sz w:val="21"/>
                <w:szCs w:val="21"/>
              </w:rPr>
              <w:t xml:space="preserve">Iprodione + </w:t>
            </w:r>
            <w:r>
              <w:rPr>
                <w:rFonts w:ascii="Calibri" w:eastAsia="Times New Roman" w:hAnsi="Calibri"/>
                <w:color w:val="000000"/>
                <w:sz w:val="21"/>
                <w:szCs w:val="21"/>
              </w:rPr>
              <w:t>Trifloxystrobin</w:t>
            </w:r>
            <w:r w:rsidR="00AA5885">
              <w:rPr>
                <w:rFonts w:ascii="Calibri" w:eastAsia="Times New Roman" w:hAnsi="Calibri"/>
                <w:color w:val="000000"/>
                <w:sz w:val="21"/>
                <w:szCs w:val="21"/>
              </w:rPr>
              <w:t>+</w:t>
            </w:r>
            <w:r w:rsidR="00AA5885" w:rsidRPr="009A0743">
              <w:rPr>
                <w:rFonts w:ascii="Calibri" w:eastAsia="Times New Roman" w:hAnsi="Calibri"/>
                <w:color w:val="000000"/>
                <w:sz w:val="21"/>
                <w:szCs w:val="21"/>
              </w:rPr>
              <w:t xml:space="preserve"> </w:t>
            </w:r>
            <w:r w:rsidR="00AA5885" w:rsidRPr="009A0743">
              <w:rPr>
                <w:rFonts w:ascii="Calibri" w:eastAsia="Times New Roman" w:hAnsi="Calibri"/>
                <w:color w:val="000000"/>
                <w:sz w:val="21"/>
                <w:szCs w:val="21"/>
              </w:rPr>
              <w:t>Mancozeb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0B5FA1" w:rsidRPr="009A0743" w:rsidRDefault="000B5FA1" w:rsidP="00AA5885">
            <w:pPr>
              <w:jc w:val="center"/>
              <w:rPr>
                <w:rFonts w:ascii="Calibri" w:eastAsia="Times New Roman" w:hAnsi="Calibri"/>
                <w:color w:val="000000"/>
                <w:sz w:val="21"/>
                <w:szCs w:val="21"/>
              </w:rPr>
            </w:pPr>
            <w:r w:rsidRPr="009A0743">
              <w:rPr>
                <w:rFonts w:ascii="Calibri" w:eastAsia="Times New Roman" w:hAnsi="Calibri"/>
                <w:color w:val="000000"/>
                <w:sz w:val="21"/>
                <w:szCs w:val="21"/>
              </w:rPr>
              <w:t>2</w:t>
            </w:r>
            <w:r>
              <w:rPr>
                <w:rFonts w:ascii="Calibri" w:eastAsia="Times New Roman" w:hAnsi="Calibri"/>
                <w:color w:val="000000"/>
                <w:sz w:val="21"/>
                <w:szCs w:val="21"/>
              </w:rPr>
              <w:t>,11</w:t>
            </w:r>
            <w:r w:rsidR="00AA5885">
              <w:rPr>
                <w:rFonts w:ascii="Calibri" w:eastAsia="Times New Roman" w:hAnsi="Calibri"/>
                <w:color w:val="000000"/>
                <w:sz w:val="21"/>
                <w:szCs w:val="21"/>
              </w:rPr>
              <w:t>,M3</w:t>
            </w:r>
          </w:p>
        </w:tc>
      </w:tr>
      <w:tr w:rsidR="00AA5885" w:rsidRPr="009A0743" w:rsidTr="00AA5885">
        <w:trPr>
          <w:trHeight w:val="340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85" w:rsidRPr="009A0743" w:rsidRDefault="00AA5885" w:rsidP="00AA5885">
            <w:pPr>
              <w:jc w:val="center"/>
              <w:rPr>
                <w:rFonts w:ascii="Calibri" w:eastAsia="Times New Roman" w:hAnsi="Calibri"/>
                <w:color w:val="000000"/>
                <w:sz w:val="21"/>
                <w:szCs w:val="21"/>
              </w:rPr>
            </w:pPr>
            <w:r w:rsidRPr="009A0743">
              <w:rPr>
                <w:rFonts w:ascii="Calibri" w:eastAsia="Times New Roman" w:hAnsi="Calibri"/>
                <w:color w:val="000000"/>
                <w:sz w:val="21"/>
                <w:szCs w:val="21"/>
              </w:rPr>
              <w:t>Apr. 15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85" w:rsidRPr="009A0743" w:rsidRDefault="00AA5885" w:rsidP="00AA5885">
            <w:pPr>
              <w:jc w:val="center"/>
              <w:rPr>
                <w:rFonts w:ascii="Calibri" w:eastAsia="Times New Roman" w:hAnsi="Calibri"/>
                <w:color w:val="000000"/>
                <w:sz w:val="21"/>
                <w:szCs w:val="21"/>
              </w:rPr>
            </w:pPr>
            <w:r w:rsidRPr="009A0743">
              <w:rPr>
                <w:rFonts w:ascii="Calibri" w:eastAsia="Times New Roman" w:hAnsi="Calibri"/>
                <w:color w:val="000000"/>
                <w:sz w:val="21"/>
                <w:szCs w:val="21"/>
              </w:rPr>
              <w:t>Affirm + Secure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85" w:rsidRPr="009A0743" w:rsidRDefault="00AA5885" w:rsidP="00AA5885">
            <w:pPr>
              <w:jc w:val="center"/>
              <w:rPr>
                <w:rFonts w:ascii="Calibri" w:eastAsia="Times New Roman" w:hAnsi="Calibri"/>
                <w:color w:val="000000"/>
                <w:sz w:val="21"/>
                <w:szCs w:val="21"/>
              </w:rPr>
            </w:pPr>
            <w:r w:rsidRPr="009A0743">
              <w:rPr>
                <w:rFonts w:ascii="Calibri" w:eastAsia="Times New Roman" w:hAnsi="Calibri"/>
                <w:color w:val="000000"/>
                <w:sz w:val="21"/>
                <w:szCs w:val="21"/>
              </w:rPr>
              <w:t>0.9 + 0.5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885" w:rsidRPr="009A0743" w:rsidRDefault="00AA5885" w:rsidP="00AA5885">
            <w:pPr>
              <w:jc w:val="center"/>
              <w:rPr>
                <w:rFonts w:ascii="Calibri" w:eastAsia="Times New Roman" w:hAnsi="Calibri"/>
                <w:color w:val="000000"/>
                <w:sz w:val="21"/>
                <w:szCs w:val="21"/>
              </w:rPr>
            </w:pPr>
            <w:r w:rsidRPr="009A0743">
              <w:rPr>
                <w:rFonts w:ascii="Calibri" w:eastAsia="Times New Roman" w:hAnsi="Calibri"/>
                <w:color w:val="000000"/>
                <w:sz w:val="21"/>
                <w:szCs w:val="21"/>
              </w:rPr>
              <w:t>Polyoxin D + Fluazinam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885" w:rsidRPr="009A0743" w:rsidRDefault="00AA5885" w:rsidP="00AA5885">
            <w:pPr>
              <w:jc w:val="center"/>
              <w:rPr>
                <w:rFonts w:ascii="Calibri" w:eastAsia="Times New Roman" w:hAnsi="Calibri"/>
                <w:color w:val="000000"/>
                <w:sz w:val="21"/>
                <w:szCs w:val="21"/>
              </w:rPr>
            </w:pPr>
            <w:r w:rsidRPr="009A0743">
              <w:rPr>
                <w:rFonts w:ascii="Calibri" w:eastAsia="Times New Roman" w:hAnsi="Calibri"/>
                <w:color w:val="000000"/>
                <w:sz w:val="21"/>
                <w:szCs w:val="21"/>
              </w:rPr>
              <w:t>19,29</w:t>
            </w:r>
          </w:p>
        </w:tc>
      </w:tr>
    </w:tbl>
    <w:p w:rsidR="000B5FA1" w:rsidRDefault="000B5FA1"/>
    <w:p w:rsidR="000B5FA1" w:rsidRDefault="00463B9B">
      <w:r>
        <w:t xml:space="preserve">If desired, </w:t>
      </w:r>
      <w:r w:rsidR="002E3E8B">
        <w:t xml:space="preserve">to reduce disease pressure, </w:t>
      </w:r>
      <w:r w:rsidR="00AA5885">
        <w:t xml:space="preserve">apply a phosphite every 2 – 4 weeks </w:t>
      </w:r>
      <w:r w:rsidR="00487F9C">
        <w:t xml:space="preserve">at either 1.2 wt. oz. phosphorous acid </w:t>
      </w:r>
      <w:r w:rsidR="00BA0E31">
        <w:t xml:space="preserve">(PA) </w:t>
      </w:r>
      <w:r w:rsidR="00487F9C">
        <w:t>per 1,000 ft</w:t>
      </w:r>
      <w:r w:rsidR="00487F9C" w:rsidRPr="00487F9C">
        <w:rPr>
          <w:vertAlign w:val="superscript"/>
        </w:rPr>
        <w:t>2</w:t>
      </w:r>
      <w:r w:rsidR="00487F9C">
        <w:t xml:space="preserve"> </w:t>
      </w:r>
      <w:r w:rsidR="0046559B">
        <w:t>(</w:t>
      </w:r>
      <w:r w:rsidR="00BA0E31">
        <w:t>2 week interval</w:t>
      </w:r>
      <w:r w:rsidR="0046559B">
        <w:t>)</w:t>
      </w:r>
      <w:r>
        <w:t>,</w:t>
      </w:r>
      <w:r w:rsidR="00BA0E31">
        <w:t xml:space="preserve"> or 2.4 wt. oz. PA per </w:t>
      </w:r>
      <w:r w:rsidR="00BA0E31">
        <w:t>1,000 ft</w:t>
      </w:r>
      <w:r w:rsidR="00BA0E31" w:rsidRPr="00487F9C">
        <w:rPr>
          <w:vertAlign w:val="superscript"/>
        </w:rPr>
        <w:t>2</w:t>
      </w:r>
      <w:r w:rsidR="00BA0E31">
        <w:t xml:space="preserve"> </w:t>
      </w:r>
      <w:r w:rsidR="0046559B">
        <w:t>(</w:t>
      </w:r>
      <w:r w:rsidR="00BA0E31">
        <w:t>4</w:t>
      </w:r>
      <w:r w:rsidR="00BA0E31">
        <w:t xml:space="preserve"> week interval</w:t>
      </w:r>
      <w:r w:rsidR="0046559B">
        <w:t>)</w:t>
      </w:r>
      <w:r w:rsidR="00BA0E31">
        <w:t xml:space="preserve"> </w:t>
      </w:r>
      <w:r w:rsidR="00AA5885">
        <w:t xml:space="preserve">with </w:t>
      </w:r>
      <w:r w:rsidR="00BA0E31">
        <w:t xml:space="preserve">elemental </w:t>
      </w:r>
      <w:r w:rsidR="00AA5885">
        <w:t>sulfur</w:t>
      </w:r>
      <w:r w:rsidR="00BA0E31">
        <w:t xml:space="preserve"> at 0.25 lbs. S/1,000 ft</w:t>
      </w:r>
      <w:r w:rsidR="00BA0E31" w:rsidRPr="00BA0E31">
        <w:rPr>
          <w:sz w:val="24"/>
          <w:vertAlign w:val="superscript"/>
        </w:rPr>
        <w:t>2</w:t>
      </w:r>
      <w:r>
        <w:t xml:space="preserve"> per </w:t>
      </w:r>
      <w:r w:rsidR="002E3E8B">
        <w:t>month</w:t>
      </w:r>
      <w:r>
        <w:t xml:space="preserve">.  Additionally, </w:t>
      </w:r>
      <w:r w:rsidR="0046559B">
        <w:t xml:space="preserve">when applying nitrogen in fall through spring, </w:t>
      </w:r>
      <w:r>
        <w:t>do not apply urea alone – add potassium by itself or with phosphorus to the urea to achieve an NPK ratio of approximately, 8-1-4.</w:t>
      </w:r>
    </w:p>
    <w:p w:rsidR="000B5FA1" w:rsidRPr="009939FB" w:rsidRDefault="004300CE">
      <w:pPr>
        <w:rPr>
          <w:i/>
        </w:rPr>
      </w:pPr>
      <w:r w:rsidRPr="009939FB">
        <w:rPr>
          <w:i/>
        </w:rPr>
        <w:t>New Products:</w:t>
      </w:r>
      <w:r w:rsidR="00623E51" w:rsidRPr="009939FB">
        <w:rPr>
          <w:i/>
        </w:rPr>
        <w:t xml:space="preserve"> Posterity fungicide (Syngenta) was approved for sale in the beginning of 2019.  In early trials at OSU, this product has shown promise for controlling Microdochium patch and may be a good option to work into a rotation.</w:t>
      </w:r>
    </w:p>
    <w:sectPr w:rsidR="000B5FA1" w:rsidRPr="009939FB" w:rsidSect="00E22B2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FA1"/>
    <w:rsid w:val="000B5FA1"/>
    <w:rsid w:val="001716C6"/>
    <w:rsid w:val="002E3E8B"/>
    <w:rsid w:val="00354CD2"/>
    <w:rsid w:val="004300CE"/>
    <w:rsid w:val="00463B9B"/>
    <w:rsid w:val="0046559B"/>
    <w:rsid w:val="00487F9C"/>
    <w:rsid w:val="00623E51"/>
    <w:rsid w:val="007161ED"/>
    <w:rsid w:val="00812E20"/>
    <w:rsid w:val="00824148"/>
    <w:rsid w:val="008807EB"/>
    <w:rsid w:val="00927A3F"/>
    <w:rsid w:val="009939FB"/>
    <w:rsid w:val="00A9656F"/>
    <w:rsid w:val="00AA5885"/>
    <w:rsid w:val="00B67E09"/>
    <w:rsid w:val="00B822CD"/>
    <w:rsid w:val="00BA0E31"/>
    <w:rsid w:val="00C81B2D"/>
    <w:rsid w:val="00DF2B00"/>
    <w:rsid w:val="00E22B2A"/>
    <w:rsid w:val="00ED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B6323C-61E3-4858-88B9-A8F09A55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20</cp:revision>
  <dcterms:created xsi:type="dcterms:W3CDTF">2019-02-27T04:04:00Z</dcterms:created>
  <dcterms:modified xsi:type="dcterms:W3CDTF">2019-02-27T05:11:00Z</dcterms:modified>
</cp:coreProperties>
</file>